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63966" w14:textId="77777777" w:rsidR="004606CD" w:rsidRPr="0076171E" w:rsidRDefault="004606CD" w:rsidP="004606CD">
      <w:pPr>
        <w:pStyle w:val="Heading1"/>
        <w:rPr>
          <w:rFonts w:asciiTheme="minorHAnsi" w:hAnsiTheme="minorHAnsi" w:cstheme="minorHAnsi"/>
          <w:b/>
          <w:bCs/>
        </w:rPr>
      </w:pPr>
      <w:r w:rsidRPr="0076171E">
        <w:rPr>
          <w:rFonts w:asciiTheme="minorHAnsi" w:hAnsiTheme="minorHAnsi" w:cstheme="minorHAnsi"/>
          <w:b/>
          <w:bCs/>
        </w:rPr>
        <w:t>Meeting Minutes</w:t>
      </w:r>
    </w:p>
    <w:p w14:paraId="09D4A2D9" w14:textId="7DE5C1E5" w:rsidR="004606CD" w:rsidRPr="0076171E" w:rsidRDefault="004606CD" w:rsidP="004606CD">
      <w:pPr>
        <w:pStyle w:val="Heading1"/>
        <w:rPr>
          <w:rFonts w:asciiTheme="minorHAnsi" w:hAnsiTheme="minorHAnsi" w:cstheme="minorHAnsi"/>
          <w:b/>
          <w:bCs/>
        </w:rPr>
      </w:pPr>
      <w:r w:rsidRPr="0076171E">
        <w:rPr>
          <w:rFonts w:asciiTheme="minorHAnsi" w:hAnsiTheme="minorHAnsi" w:cstheme="minorHAnsi"/>
          <w:b/>
          <w:bCs/>
        </w:rPr>
        <w:t xml:space="preserve">Consumer Advisory Panel Meeting #38 </w:t>
      </w:r>
      <w:r w:rsidR="00970FA3" w:rsidRPr="0076171E">
        <w:rPr>
          <w:rFonts w:asciiTheme="minorHAnsi" w:hAnsiTheme="minorHAnsi" w:cstheme="minorHAnsi"/>
          <w:b/>
          <w:bCs/>
        </w:rPr>
        <w:t>–</w:t>
      </w:r>
      <w:r w:rsidRPr="0076171E">
        <w:rPr>
          <w:rFonts w:asciiTheme="minorHAnsi" w:hAnsiTheme="minorHAnsi" w:cstheme="minorHAnsi"/>
          <w:b/>
          <w:bCs/>
        </w:rPr>
        <w:t xml:space="preserve"> </w:t>
      </w:r>
      <w:r w:rsidR="00970FA3" w:rsidRPr="0076171E">
        <w:rPr>
          <w:rFonts w:asciiTheme="minorHAnsi" w:hAnsiTheme="minorHAnsi" w:cstheme="minorHAnsi"/>
          <w:b/>
          <w:bCs/>
        </w:rPr>
        <w:t>21 August</w:t>
      </w:r>
      <w:r w:rsidRPr="0076171E">
        <w:rPr>
          <w:rFonts w:asciiTheme="minorHAnsi" w:hAnsiTheme="minorHAnsi" w:cstheme="minorHAnsi"/>
          <w:b/>
          <w:bCs/>
        </w:rPr>
        <w:t xml:space="preserve"> 2025</w:t>
      </w:r>
    </w:p>
    <w:p w14:paraId="372F7B9A" w14:textId="77777777" w:rsidR="00970FA3" w:rsidRPr="00123C26" w:rsidRDefault="00970FA3" w:rsidP="00970FA3">
      <w:pPr>
        <w:rPr>
          <w:rFonts w:cstheme="minorHAnsi"/>
        </w:rPr>
      </w:pPr>
    </w:p>
    <w:tbl>
      <w:tblPr>
        <w:tblStyle w:val="TableElectraNet"/>
        <w:tblW w:w="9214" w:type="dxa"/>
        <w:tblLayout w:type="fixed"/>
        <w:tblLook w:val="01E0" w:firstRow="1" w:lastRow="1" w:firstColumn="1" w:lastColumn="1" w:noHBand="0" w:noVBand="0"/>
      </w:tblPr>
      <w:tblGrid>
        <w:gridCol w:w="2267"/>
        <w:gridCol w:w="4821"/>
        <w:gridCol w:w="2126"/>
      </w:tblGrid>
      <w:tr w:rsidR="004606CD" w:rsidRPr="00123C26" w14:paraId="437453BE" w14:textId="77777777">
        <w:trPr>
          <w:cnfStyle w:val="100000000000" w:firstRow="1" w:lastRow="0" w:firstColumn="0" w:lastColumn="0" w:oddVBand="0" w:evenVBand="0" w:oddHBand="0" w:evenHBand="0" w:firstRowFirstColumn="0" w:firstRowLastColumn="0" w:lastRowFirstColumn="0" w:lastRowLastColumn="0"/>
          <w:trHeight w:val="219"/>
        </w:trPr>
        <w:tc>
          <w:tcPr>
            <w:tcW w:w="9214" w:type="dxa"/>
            <w:gridSpan w:val="3"/>
            <w:hideMark/>
          </w:tcPr>
          <w:p w14:paraId="3D78196E" w14:textId="77777777" w:rsidR="004606CD" w:rsidRPr="00123C26" w:rsidRDefault="004606CD">
            <w:pPr>
              <w:spacing w:before="0" w:after="0" w:line="240" w:lineRule="auto"/>
              <w:rPr>
                <w:rFonts w:asciiTheme="minorHAnsi" w:hAnsiTheme="minorHAnsi" w:cstheme="minorHAnsi"/>
                <w:b/>
                <w:lang w:val="en-US"/>
              </w:rPr>
            </w:pPr>
            <w:r w:rsidRPr="00123C26">
              <w:rPr>
                <w:rFonts w:asciiTheme="minorHAnsi" w:hAnsiTheme="minorHAnsi" w:cstheme="minorHAnsi"/>
                <w:b/>
                <w:lang w:val="en-US"/>
              </w:rPr>
              <w:t>ATTENDEES</w:t>
            </w:r>
          </w:p>
        </w:tc>
      </w:tr>
      <w:tr w:rsidR="004606CD" w:rsidRPr="00123C26" w14:paraId="28C9FF34" w14:textId="77777777">
        <w:trPr>
          <w:cnfStyle w:val="000000100000" w:firstRow="0" w:lastRow="0" w:firstColumn="0" w:lastColumn="0" w:oddVBand="0" w:evenVBand="0" w:oddHBand="1" w:evenHBand="0" w:firstRowFirstColumn="0" w:firstRowLastColumn="0" w:lastRowFirstColumn="0" w:lastRowLastColumn="0"/>
          <w:trHeight w:val="228"/>
        </w:trPr>
        <w:tc>
          <w:tcPr>
            <w:tcW w:w="2267" w:type="dxa"/>
            <w:hideMark/>
          </w:tcPr>
          <w:p w14:paraId="60BD6BED" w14:textId="77777777" w:rsidR="004606CD" w:rsidRPr="00123C26" w:rsidRDefault="004606CD">
            <w:pPr>
              <w:spacing w:before="0" w:after="0" w:line="240" w:lineRule="auto"/>
              <w:jc w:val="center"/>
              <w:rPr>
                <w:rFonts w:cstheme="minorHAnsi"/>
                <w:b/>
                <w:lang w:val="en-US"/>
              </w:rPr>
            </w:pPr>
            <w:r w:rsidRPr="00123C26">
              <w:rPr>
                <w:rFonts w:cstheme="minorHAnsi"/>
                <w:b/>
                <w:lang w:val="en-US"/>
              </w:rPr>
              <w:t>Name</w:t>
            </w:r>
          </w:p>
        </w:tc>
        <w:tc>
          <w:tcPr>
            <w:tcW w:w="4821" w:type="dxa"/>
            <w:hideMark/>
          </w:tcPr>
          <w:p w14:paraId="5DE23D03" w14:textId="77777777" w:rsidR="004606CD" w:rsidRPr="00123C26" w:rsidRDefault="004606CD">
            <w:pPr>
              <w:spacing w:before="0" w:after="0" w:line="240" w:lineRule="auto"/>
              <w:jc w:val="center"/>
              <w:rPr>
                <w:rFonts w:cstheme="minorHAnsi"/>
                <w:b/>
                <w:lang w:val="en-US"/>
              </w:rPr>
            </w:pPr>
            <w:r w:rsidRPr="00123C26">
              <w:rPr>
                <w:rFonts w:cstheme="minorHAnsi"/>
                <w:b/>
                <w:lang w:val="en-US"/>
              </w:rPr>
              <w:t>Affiliation / Title</w:t>
            </w:r>
          </w:p>
        </w:tc>
        <w:tc>
          <w:tcPr>
            <w:tcW w:w="2126" w:type="dxa"/>
            <w:hideMark/>
          </w:tcPr>
          <w:p w14:paraId="4B4B74BB" w14:textId="77777777" w:rsidR="004606CD" w:rsidRPr="00123C26" w:rsidRDefault="004606CD">
            <w:pPr>
              <w:spacing w:before="0" w:after="0" w:line="240" w:lineRule="auto"/>
              <w:rPr>
                <w:rFonts w:cstheme="minorHAnsi"/>
                <w:b/>
                <w:lang w:val="en-US"/>
              </w:rPr>
            </w:pPr>
            <w:r w:rsidRPr="00123C26">
              <w:rPr>
                <w:rFonts w:cstheme="minorHAnsi"/>
                <w:b/>
                <w:lang w:val="en-US"/>
              </w:rPr>
              <w:t>Attendance</w:t>
            </w:r>
          </w:p>
        </w:tc>
      </w:tr>
      <w:tr w:rsidR="004606CD" w:rsidRPr="00123C26" w14:paraId="692D7601" w14:textId="77777777">
        <w:trPr>
          <w:cnfStyle w:val="000000010000" w:firstRow="0" w:lastRow="0" w:firstColumn="0" w:lastColumn="0" w:oddVBand="0" w:evenVBand="0" w:oddHBand="0" w:evenHBand="1" w:firstRowFirstColumn="0" w:firstRowLastColumn="0" w:lastRowFirstColumn="0" w:lastRowLastColumn="0"/>
          <w:trHeight w:val="274"/>
        </w:trPr>
        <w:tc>
          <w:tcPr>
            <w:tcW w:w="9214" w:type="dxa"/>
            <w:gridSpan w:val="3"/>
            <w:shd w:val="clear" w:color="auto" w:fill="F8FEE2" w:themeFill="accent2" w:themeFillTint="33"/>
            <w:hideMark/>
          </w:tcPr>
          <w:p w14:paraId="68503C7D" w14:textId="77777777" w:rsidR="004606CD" w:rsidRPr="00123C26" w:rsidRDefault="004606CD">
            <w:pPr>
              <w:spacing w:before="0" w:after="0" w:line="240" w:lineRule="auto"/>
              <w:jc w:val="center"/>
              <w:rPr>
                <w:rFonts w:cstheme="minorHAnsi"/>
                <w:b/>
                <w:lang w:val="en-US"/>
              </w:rPr>
            </w:pPr>
            <w:r w:rsidRPr="00123C26">
              <w:rPr>
                <w:rFonts w:cstheme="minorHAnsi"/>
                <w:b/>
                <w:lang w:val="en-US"/>
              </w:rPr>
              <w:t>CAP Members</w:t>
            </w:r>
          </w:p>
        </w:tc>
      </w:tr>
      <w:tr w:rsidR="004606CD" w:rsidRPr="00123C26" w14:paraId="348A7D29"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1014E21A" w14:textId="77777777" w:rsidR="004606CD" w:rsidRPr="00123C26" w:rsidRDefault="004606CD">
            <w:pPr>
              <w:pStyle w:val="TableText"/>
              <w:spacing w:line="240" w:lineRule="auto"/>
              <w:rPr>
                <w:rFonts w:cstheme="minorHAnsi"/>
              </w:rPr>
            </w:pPr>
            <w:r w:rsidRPr="00123C26">
              <w:rPr>
                <w:rFonts w:cstheme="minorHAnsi"/>
              </w:rPr>
              <w:t>Leanne Muffet</w:t>
            </w:r>
          </w:p>
        </w:tc>
        <w:tc>
          <w:tcPr>
            <w:tcW w:w="4821" w:type="dxa"/>
            <w:hideMark/>
          </w:tcPr>
          <w:p w14:paraId="0C32BBD7" w14:textId="77777777" w:rsidR="004606CD" w:rsidRPr="00123C26" w:rsidRDefault="004606CD">
            <w:pPr>
              <w:pStyle w:val="TableText"/>
              <w:spacing w:line="240" w:lineRule="auto"/>
              <w:rPr>
                <w:rFonts w:cstheme="minorHAnsi"/>
              </w:rPr>
            </w:pPr>
            <w:r w:rsidRPr="00123C26">
              <w:rPr>
                <w:rFonts w:cstheme="minorHAnsi"/>
              </w:rPr>
              <w:t xml:space="preserve"> CAP Independent Facilitator</w:t>
            </w:r>
          </w:p>
        </w:tc>
        <w:tc>
          <w:tcPr>
            <w:tcW w:w="2126" w:type="dxa"/>
          </w:tcPr>
          <w:p w14:paraId="115CEA05" w14:textId="77777777" w:rsidR="004606CD" w:rsidRPr="00123C26" w:rsidRDefault="004606CD">
            <w:pPr>
              <w:pStyle w:val="TableText"/>
              <w:spacing w:line="240" w:lineRule="auto"/>
              <w:rPr>
                <w:rFonts w:cstheme="minorHAnsi"/>
              </w:rPr>
            </w:pPr>
            <w:r w:rsidRPr="00123C26">
              <w:rPr>
                <w:rFonts w:cstheme="minorHAnsi"/>
              </w:rPr>
              <w:t>Attended</w:t>
            </w:r>
          </w:p>
        </w:tc>
      </w:tr>
      <w:tr w:rsidR="004606CD" w:rsidRPr="00123C26" w14:paraId="496793AC" w14:textId="77777777">
        <w:trPr>
          <w:cnfStyle w:val="000000010000" w:firstRow="0" w:lastRow="0" w:firstColumn="0" w:lastColumn="0" w:oddVBand="0" w:evenVBand="0" w:oddHBand="0" w:evenHBand="1" w:firstRowFirstColumn="0" w:firstRowLastColumn="0" w:lastRowFirstColumn="0" w:lastRowLastColumn="0"/>
          <w:trHeight w:val="178"/>
        </w:trPr>
        <w:tc>
          <w:tcPr>
            <w:tcW w:w="2267" w:type="dxa"/>
            <w:hideMark/>
          </w:tcPr>
          <w:p w14:paraId="3FF06257" w14:textId="77777777" w:rsidR="004606CD" w:rsidRPr="00123C26" w:rsidRDefault="004606CD">
            <w:pPr>
              <w:pStyle w:val="TableText"/>
              <w:spacing w:line="240" w:lineRule="auto"/>
              <w:rPr>
                <w:rFonts w:cstheme="minorHAnsi"/>
              </w:rPr>
            </w:pPr>
            <w:r w:rsidRPr="00123C26">
              <w:rPr>
                <w:rFonts w:cstheme="minorHAnsi"/>
              </w:rPr>
              <w:t>Andrew Richards</w:t>
            </w:r>
          </w:p>
        </w:tc>
        <w:tc>
          <w:tcPr>
            <w:tcW w:w="4821" w:type="dxa"/>
            <w:hideMark/>
          </w:tcPr>
          <w:p w14:paraId="03F97249" w14:textId="77777777" w:rsidR="004606CD" w:rsidRPr="00123C26" w:rsidRDefault="004606CD">
            <w:pPr>
              <w:pStyle w:val="TableText"/>
              <w:spacing w:line="240" w:lineRule="auto"/>
              <w:rPr>
                <w:rFonts w:cstheme="minorHAnsi"/>
              </w:rPr>
            </w:pPr>
            <w:r w:rsidRPr="00123C26">
              <w:rPr>
                <w:rFonts w:cstheme="minorHAnsi"/>
              </w:rPr>
              <w:t xml:space="preserve"> Energy Users Association Australia </w:t>
            </w:r>
          </w:p>
        </w:tc>
        <w:tc>
          <w:tcPr>
            <w:tcW w:w="2126" w:type="dxa"/>
          </w:tcPr>
          <w:p w14:paraId="13A2035C" w14:textId="69FD61BF" w:rsidR="004606CD" w:rsidRPr="00123C26" w:rsidRDefault="004606CD">
            <w:pPr>
              <w:pStyle w:val="TableText"/>
              <w:spacing w:line="240" w:lineRule="auto"/>
              <w:rPr>
                <w:rFonts w:cstheme="minorHAnsi"/>
              </w:rPr>
            </w:pPr>
            <w:r w:rsidRPr="00123C26">
              <w:rPr>
                <w:rFonts w:cstheme="minorHAnsi"/>
              </w:rPr>
              <w:t>Apology</w:t>
            </w:r>
          </w:p>
        </w:tc>
      </w:tr>
      <w:tr w:rsidR="004606CD" w:rsidRPr="00123C26" w14:paraId="26431171" w14:textId="77777777">
        <w:trPr>
          <w:cnfStyle w:val="000000100000" w:firstRow="0" w:lastRow="0" w:firstColumn="0" w:lastColumn="0" w:oddVBand="0" w:evenVBand="0" w:oddHBand="1" w:evenHBand="0" w:firstRowFirstColumn="0" w:firstRowLastColumn="0" w:lastRowFirstColumn="0" w:lastRowLastColumn="0"/>
          <w:trHeight w:val="198"/>
        </w:trPr>
        <w:tc>
          <w:tcPr>
            <w:tcW w:w="2267" w:type="dxa"/>
            <w:hideMark/>
          </w:tcPr>
          <w:p w14:paraId="2599109E" w14:textId="77777777" w:rsidR="004606CD" w:rsidRPr="00123C26" w:rsidRDefault="004606CD">
            <w:pPr>
              <w:pStyle w:val="TableText"/>
              <w:spacing w:line="240" w:lineRule="auto"/>
              <w:rPr>
                <w:rFonts w:cstheme="minorHAnsi"/>
              </w:rPr>
            </w:pPr>
            <w:r w:rsidRPr="00123C26">
              <w:rPr>
                <w:rFonts w:cstheme="minorHAnsi"/>
              </w:rPr>
              <w:t>Craig Wilkins</w:t>
            </w:r>
          </w:p>
        </w:tc>
        <w:tc>
          <w:tcPr>
            <w:tcW w:w="4821" w:type="dxa"/>
            <w:hideMark/>
          </w:tcPr>
          <w:p w14:paraId="7C1F3CC9" w14:textId="77777777" w:rsidR="004606CD" w:rsidRPr="00123C26" w:rsidRDefault="004606CD">
            <w:pPr>
              <w:pStyle w:val="TableText"/>
              <w:spacing w:line="240" w:lineRule="auto"/>
              <w:rPr>
                <w:rFonts w:cstheme="minorHAnsi"/>
              </w:rPr>
            </w:pPr>
            <w:r w:rsidRPr="00123C26">
              <w:rPr>
                <w:rFonts w:cstheme="minorHAnsi"/>
              </w:rPr>
              <w:t xml:space="preserve"> Consumer Representative</w:t>
            </w:r>
          </w:p>
        </w:tc>
        <w:tc>
          <w:tcPr>
            <w:tcW w:w="2126" w:type="dxa"/>
          </w:tcPr>
          <w:p w14:paraId="556BDE7C" w14:textId="77777777" w:rsidR="004606CD" w:rsidRPr="00123C26" w:rsidRDefault="004606CD">
            <w:pPr>
              <w:pStyle w:val="TableText"/>
              <w:spacing w:line="240" w:lineRule="auto"/>
              <w:rPr>
                <w:rFonts w:cstheme="minorHAnsi"/>
              </w:rPr>
            </w:pPr>
            <w:r w:rsidRPr="00123C26">
              <w:rPr>
                <w:rFonts w:cstheme="minorHAnsi"/>
              </w:rPr>
              <w:t>Attended</w:t>
            </w:r>
          </w:p>
        </w:tc>
      </w:tr>
      <w:tr w:rsidR="004606CD" w:rsidRPr="00123C26" w14:paraId="7F7BDDEA"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7600E015" w14:textId="77777777" w:rsidR="004606CD" w:rsidRPr="00123C26" w:rsidRDefault="004606CD">
            <w:pPr>
              <w:pStyle w:val="TableText"/>
              <w:spacing w:line="240" w:lineRule="auto"/>
              <w:rPr>
                <w:rFonts w:cstheme="minorHAnsi"/>
              </w:rPr>
            </w:pPr>
            <w:r w:rsidRPr="00123C26">
              <w:rPr>
                <w:rFonts w:cstheme="minorHAnsi"/>
              </w:rPr>
              <w:t>Georgina Morris</w:t>
            </w:r>
          </w:p>
        </w:tc>
        <w:tc>
          <w:tcPr>
            <w:tcW w:w="4821" w:type="dxa"/>
            <w:hideMark/>
          </w:tcPr>
          <w:p w14:paraId="1AA18323" w14:textId="77777777" w:rsidR="004606CD" w:rsidRPr="00123C26" w:rsidRDefault="004606CD">
            <w:pPr>
              <w:pStyle w:val="TableText"/>
              <w:spacing w:line="240" w:lineRule="auto"/>
              <w:rPr>
                <w:rFonts w:cstheme="minorHAnsi"/>
              </w:rPr>
            </w:pPr>
            <w:r w:rsidRPr="00123C26">
              <w:rPr>
                <w:rFonts w:cstheme="minorHAnsi"/>
              </w:rPr>
              <w:t xml:space="preserve"> SACOSS</w:t>
            </w:r>
          </w:p>
        </w:tc>
        <w:tc>
          <w:tcPr>
            <w:tcW w:w="2126" w:type="dxa"/>
          </w:tcPr>
          <w:p w14:paraId="413092C8" w14:textId="4F546625" w:rsidR="004606CD" w:rsidRPr="00123C26" w:rsidRDefault="004606CD">
            <w:pPr>
              <w:pStyle w:val="TableText"/>
              <w:spacing w:line="240" w:lineRule="auto"/>
              <w:rPr>
                <w:rFonts w:cstheme="minorHAnsi"/>
              </w:rPr>
            </w:pPr>
            <w:r w:rsidRPr="00123C26">
              <w:rPr>
                <w:rFonts w:cstheme="minorHAnsi"/>
              </w:rPr>
              <w:t>Attended</w:t>
            </w:r>
          </w:p>
        </w:tc>
      </w:tr>
      <w:tr w:rsidR="004606CD" w:rsidRPr="00123C26" w14:paraId="2DC0D149" w14:textId="77777777">
        <w:trPr>
          <w:cnfStyle w:val="000000100000" w:firstRow="0" w:lastRow="0" w:firstColumn="0" w:lastColumn="0" w:oddVBand="0" w:evenVBand="0" w:oddHBand="1" w:evenHBand="0" w:firstRowFirstColumn="0" w:firstRowLastColumn="0" w:lastRowFirstColumn="0" w:lastRowLastColumn="0"/>
          <w:trHeight w:val="124"/>
        </w:trPr>
        <w:tc>
          <w:tcPr>
            <w:tcW w:w="2267" w:type="dxa"/>
            <w:hideMark/>
          </w:tcPr>
          <w:p w14:paraId="4DFD635A" w14:textId="77777777" w:rsidR="004606CD" w:rsidRPr="00123C26" w:rsidRDefault="004606CD">
            <w:pPr>
              <w:pStyle w:val="TableText"/>
              <w:spacing w:line="240" w:lineRule="auto"/>
              <w:rPr>
                <w:rFonts w:cstheme="minorHAnsi"/>
              </w:rPr>
            </w:pPr>
            <w:r w:rsidRPr="00123C26">
              <w:rPr>
                <w:rFonts w:cstheme="minorHAnsi"/>
              </w:rPr>
              <w:t>Greg McCarron</w:t>
            </w:r>
          </w:p>
        </w:tc>
        <w:tc>
          <w:tcPr>
            <w:tcW w:w="4821" w:type="dxa"/>
            <w:hideMark/>
          </w:tcPr>
          <w:p w14:paraId="0CD94B97" w14:textId="77777777" w:rsidR="004606CD" w:rsidRPr="00123C26" w:rsidRDefault="004606CD">
            <w:pPr>
              <w:pStyle w:val="TableText"/>
              <w:spacing w:line="240" w:lineRule="auto"/>
              <w:rPr>
                <w:rFonts w:cstheme="minorHAnsi"/>
              </w:rPr>
            </w:pPr>
            <w:r w:rsidRPr="00123C26">
              <w:rPr>
                <w:rFonts w:cstheme="minorHAnsi"/>
              </w:rPr>
              <w:t xml:space="preserve"> Central Irrigation Trust</w:t>
            </w:r>
          </w:p>
        </w:tc>
        <w:tc>
          <w:tcPr>
            <w:tcW w:w="2126" w:type="dxa"/>
          </w:tcPr>
          <w:p w14:paraId="073595CF" w14:textId="77777777" w:rsidR="004606CD" w:rsidRPr="00123C26" w:rsidRDefault="004606CD">
            <w:pPr>
              <w:pStyle w:val="TableText"/>
              <w:spacing w:line="240" w:lineRule="auto"/>
              <w:rPr>
                <w:rFonts w:cstheme="minorHAnsi"/>
              </w:rPr>
            </w:pPr>
            <w:r w:rsidRPr="00123C26">
              <w:rPr>
                <w:rFonts w:cstheme="minorHAnsi"/>
              </w:rPr>
              <w:t>Attended</w:t>
            </w:r>
          </w:p>
        </w:tc>
      </w:tr>
      <w:tr w:rsidR="004606CD" w:rsidRPr="00123C26" w14:paraId="701C669B"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5929A201" w14:textId="77777777" w:rsidR="004606CD" w:rsidRPr="00123C26" w:rsidRDefault="004606CD">
            <w:pPr>
              <w:pStyle w:val="TableText"/>
              <w:spacing w:line="240" w:lineRule="auto"/>
              <w:rPr>
                <w:rFonts w:cstheme="minorHAnsi"/>
              </w:rPr>
            </w:pPr>
            <w:r w:rsidRPr="00123C26">
              <w:rPr>
                <w:rFonts w:cstheme="minorHAnsi"/>
              </w:rPr>
              <w:t xml:space="preserve">Cathi Buttfield </w:t>
            </w:r>
          </w:p>
        </w:tc>
        <w:tc>
          <w:tcPr>
            <w:tcW w:w="4821" w:type="dxa"/>
            <w:hideMark/>
          </w:tcPr>
          <w:p w14:paraId="2D38DAF4" w14:textId="77777777" w:rsidR="004606CD" w:rsidRPr="00123C26" w:rsidRDefault="004606CD">
            <w:pPr>
              <w:pStyle w:val="TableText"/>
              <w:spacing w:line="240" w:lineRule="auto"/>
              <w:rPr>
                <w:rFonts w:cstheme="minorHAnsi"/>
              </w:rPr>
            </w:pPr>
            <w:r w:rsidRPr="00123C26">
              <w:rPr>
                <w:rFonts w:cstheme="minorHAnsi"/>
              </w:rPr>
              <w:t xml:space="preserve"> SA Business Chamber</w:t>
            </w:r>
          </w:p>
        </w:tc>
        <w:tc>
          <w:tcPr>
            <w:tcW w:w="2126" w:type="dxa"/>
          </w:tcPr>
          <w:p w14:paraId="79348D44" w14:textId="77ABD1AA" w:rsidR="004606CD" w:rsidRPr="00123C26" w:rsidRDefault="004606CD">
            <w:pPr>
              <w:pStyle w:val="TableText"/>
              <w:spacing w:line="240" w:lineRule="auto"/>
              <w:rPr>
                <w:rFonts w:cstheme="minorHAnsi"/>
              </w:rPr>
            </w:pPr>
            <w:r w:rsidRPr="00123C26">
              <w:rPr>
                <w:rFonts w:cstheme="minorHAnsi"/>
              </w:rPr>
              <w:t>Attended</w:t>
            </w:r>
          </w:p>
        </w:tc>
      </w:tr>
      <w:tr w:rsidR="00266012" w:rsidRPr="00123C26" w14:paraId="406B8D40" w14:textId="77777777">
        <w:trPr>
          <w:cnfStyle w:val="000000100000" w:firstRow="0" w:lastRow="0" w:firstColumn="0" w:lastColumn="0" w:oddVBand="0" w:evenVBand="0" w:oddHBand="1" w:evenHBand="0" w:firstRowFirstColumn="0" w:firstRowLastColumn="0" w:lastRowFirstColumn="0" w:lastRowLastColumn="0"/>
          <w:trHeight w:val="36"/>
        </w:trPr>
        <w:tc>
          <w:tcPr>
            <w:tcW w:w="2267" w:type="dxa"/>
          </w:tcPr>
          <w:p w14:paraId="0C9940B9" w14:textId="77777777" w:rsidR="004606CD" w:rsidRPr="00123C26" w:rsidRDefault="004606CD">
            <w:pPr>
              <w:pStyle w:val="TableText"/>
              <w:spacing w:line="240" w:lineRule="auto"/>
              <w:rPr>
                <w:rFonts w:cstheme="minorHAnsi"/>
              </w:rPr>
            </w:pPr>
            <w:r w:rsidRPr="00123C26">
              <w:rPr>
                <w:rFonts w:cstheme="minorHAnsi"/>
              </w:rPr>
              <w:t>Kelly-Anne Saffin</w:t>
            </w:r>
          </w:p>
        </w:tc>
        <w:tc>
          <w:tcPr>
            <w:tcW w:w="4821" w:type="dxa"/>
          </w:tcPr>
          <w:p w14:paraId="6E54A8C9" w14:textId="36528975" w:rsidR="004606CD" w:rsidRPr="00123C26" w:rsidRDefault="004606CD">
            <w:pPr>
              <w:pStyle w:val="TableText"/>
              <w:spacing w:line="240" w:lineRule="auto"/>
              <w:rPr>
                <w:rFonts w:cstheme="minorHAnsi"/>
              </w:rPr>
            </w:pPr>
            <w:r w:rsidRPr="00123C26">
              <w:rPr>
                <w:rFonts w:cstheme="minorHAnsi"/>
              </w:rPr>
              <w:t>Cross Border Commissioner</w:t>
            </w:r>
          </w:p>
        </w:tc>
        <w:tc>
          <w:tcPr>
            <w:tcW w:w="2126" w:type="dxa"/>
          </w:tcPr>
          <w:p w14:paraId="40DC0DF9" w14:textId="502006A5" w:rsidR="004606CD" w:rsidRPr="00123C26" w:rsidRDefault="004606CD">
            <w:pPr>
              <w:pStyle w:val="TableText"/>
              <w:spacing w:line="240" w:lineRule="auto"/>
              <w:rPr>
                <w:rFonts w:cstheme="minorHAnsi"/>
              </w:rPr>
            </w:pPr>
            <w:r w:rsidRPr="00123C26">
              <w:rPr>
                <w:rFonts w:cstheme="minorHAnsi"/>
              </w:rPr>
              <w:t>Attended (remote)</w:t>
            </w:r>
          </w:p>
        </w:tc>
      </w:tr>
      <w:tr w:rsidR="004606CD" w:rsidRPr="00123C26" w14:paraId="765BC78A"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017FC838" w14:textId="77777777" w:rsidR="004606CD" w:rsidRPr="00123C26" w:rsidRDefault="004606CD">
            <w:pPr>
              <w:pStyle w:val="TableText"/>
              <w:spacing w:line="240" w:lineRule="auto"/>
              <w:rPr>
                <w:rFonts w:cstheme="minorHAnsi"/>
              </w:rPr>
            </w:pPr>
            <w:r w:rsidRPr="00123C26">
              <w:rPr>
                <w:rFonts w:cstheme="minorHAnsi"/>
              </w:rPr>
              <w:t>Mark Henley</w:t>
            </w:r>
          </w:p>
        </w:tc>
        <w:tc>
          <w:tcPr>
            <w:tcW w:w="4821" w:type="dxa"/>
            <w:hideMark/>
          </w:tcPr>
          <w:p w14:paraId="1E30C72A" w14:textId="77777777" w:rsidR="004606CD" w:rsidRPr="00123C26" w:rsidRDefault="004606CD">
            <w:pPr>
              <w:pStyle w:val="TableText"/>
              <w:spacing w:line="240" w:lineRule="auto"/>
              <w:rPr>
                <w:rFonts w:cstheme="minorHAnsi"/>
              </w:rPr>
            </w:pPr>
            <w:r w:rsidRPr="00123C26">
              <w:rPr>
                <w:rFonts w:cstheme="minorHAnsi"/>
              </w:rPr>
              <w:t xml:space="preserve"> Consumer Representative</w:t>
            </w:r>
          </w:p>
        </w:tc>
        <w:tc>
          <w:tcPr>
            <w:tcW w:w="2126" w:type="dxa"/>
            <w:hideMark/>
          </w:tcPr>
          <w:p w14:paraId="5055604A" w14:textId="11CD21B6" w:rsidR="004606CD" w:rsidRPr="00123C26" w:rsidRDefault="004606CD">
            <w:pPr>
              <w:pStyle w:val="TableText"/>
              <w:spacing w:line="240" w:lineRule="auto"/>
              <w:rPr>
                <w:rFonts w:cstheme="minorHAnsi"/>
              </w:rPr>
            </w:pPr>
            <w:r w:rsidRPr="00123C26">
              <w:rPr>
                <w:rFonts w:cstheme="minorHAnsi"/>
              </w:rPr>
              <w:t>Attended (remote)</w:t>
            </w:r>
          </w:p>
        </w:tc>
      </w:tr>
      <w:tr w:rsidR="004606CD" w:rsidRPr="00123C26" w14:paraId="702011E9"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3A02FAC2" w14:textId="77777777" w:rsidR="004606CD" w:rsidRPr="00123C26" w:rsidRDefault="004606CD">
            <w:pPr>
              <w:pStyle w:val="TableText"/>
              <w:spacing w:line="240" w:lineRule="auto"/>
              <w:rPr>
                <w:rFonts w:cstheme="minorHAnsi"/>
              </w:rPr>
            </w:pPr>
            <w:r w:rsidRPr="00123C26">
              <w:rPr>
                <w:rFonts w:cstheme="minorHAnsi"/>
              </w:rPr>
              <w:t>Rebecca Knol</w:t>
            </w:r>
          </w:p>
        </w:tc>
        <w:tc>
          <w:tcPr>
            <w:tcW w:w="4821" w:type="dxa"/>
            <w:hideMark/>
          </w:tcPr>
          <w:p w14:paraId="1F5AC79C" w14:textId="77777777" w:rsidR="004606CD" w:rsidRPr="00123C26" w:rsidRDefault="004606CD">
            <w:pPr>
              <w:pStyle w:val="TableText"/>
              <w:spacing w:line="240" w:lineRule="auto"/>
              <w:rPr>
                <w:rFonts w:cstheme="minorHAnsi"/>
              </w:rPr>
            </w:pPr>
            <w:r w:rsidRPr="00123C26">
              <w:rPr>
                <w:rFonts w:cstheme="minorHAnsi"/>
              </w:rPr>
              <w:t xml:space="preserve"> SA Chamber of Mines and Energy</w:t>
            </w:r>
          </w:p>
        </w:tc>
        <w:tc>
          <w:tcPr>
            <w:tcW w:w="2126" w:type="dxa"/>
          </w:tcPr>
          <w:p w14:paraId="78A86B0F" w14:textId="77777777" w:rsidR="004606CD" w:rsidRPr="00123C26" w:rsidRDefault="004606CD">
            <w:pPr>
              <w:pStyle w:val="TableText"/>
              <w:spacing w:line="240" w:lineRule="auto"/>
              <w:rPr>
                <w:rFonts w:cstheme="minorHAnsi"/>
              </w:rPr>
            </w:pPr>
            <w:r w:rsidRPr="00123C26">
              <w:rPr>
                <w:rFonts w:cstheme="minorHAnsi"/>
              </w:rPr>
              <w:t>Attended</w:t>
            </w:r>
          </w:p>
        </w:tc>
      </w:tr>
      <w:tr w:rsidR="004606CD" w:rsidRPr="00123C26" w14:paraId="72063B66"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195C1467" w14:textId="77777777" w:rsidR="004606CD" w:rsidRPr="00123C26" w:rsidRDefault="004606CD">
            <w:pPr>
              <w:pStyle w:val="TableText"/>
              <w:spacing w:line="240" w:lineRule="auto"/>
              <w:rPr>
                <w:rFonts w:cstheme="minorHAnsi"/>
              </w:rPr>
            </w:pPr>
            <w:r w:rsidRPr="00123C26">
              <w:rPr>
                <w:rFonts w:cstheme="minorHAnsi"/>
              </w:rPr>
              <w:t>Simon Maddocks</w:t>
            </w:r>
          </w:p>
        </w:tc>
        <w:tc>
          <w:tcPr>
            <w:tcW w:w="4821" w:type="dxa"/>
            <w:hideMark/>
          </w:tcPr>
          <w:p w14:paraId="7C877786" w14:textId="77777777" w:rsidR="004606CD" w:rsidRPr="00123C26" w:rsidRDefault="004606CD">
            <w:pPr>
              <w:pStyle w:val="TableText"/>
              <w:spacing w:line="240" w:lineRule="auto"/>
              <w:rPr>
                <w:rFonts w:cstheme="minorHAnsi"/>
              </w:rPr>
            </w:pPr>
            <w:r w:rsidRPr="00123C26">
              <w:rPr>
                <w:rFonts w:cstheme="minorHAnsi"/>
              </w:rPr>
              <w:t xml:space="preserve"> Primary Producers SA</w:t>
            </w:r>
          </w:p>
        </w:tc>
        <w:tc>
          <w:tcPr>
            <w:tcW w:w="2126" w:type="dxa"/>
          </w:tcPr>
          <w:p w14:paraId="74015426" w14:textId="77777777" w:rsidR="004606CD" w:rsidRPr="00123C26" w:rsidRDefault="004606CD">
            <w:pPr>
              <w:pStyle w:val="TableText"/>
              <w:spacing w:line="240" w:lineRule="auto"/>
              <w:rPr>
                <w:rFonts w:cstheme="minorHAnsi"/>
              </w:rPr>
            </w:pPr>
            <w:r w:rsidRPr="00123C26">
              <w:rPr>
                <w:rFonts w:cstheme="minorHAnsi"/>
              </w:rPr>
              <w:t>Attended</w:t>
            </w:r>
          </w:p>
        </w:tc>
      </w:tr>
      <w:tr w:rsidR="004606CD" w:rsidRPr="00123C26" w14:paraId="773360DC" w14:textId="77777777">
        <w:trPr>
          <w:cnfStyle w:val="000000100000" w:firstRow="0" w:lastRow="0" w:firstColumn="0" w:lastColumn="0" w:oddVBand="0" w:evenVBand="0" w:oddHBand="1" w:evenHBand="0" w:firstRowFirstColumn="0" w:firstRowLastColumn="0" w:lastRowFirstColumn="0" w:lastRowLastColumn="0"/>
          <w:trHeight w:val="17"/>
        </w:trPr>
        <w:tc>
          <w:tcPr>
            <w:tcW w:w="2267" w:type="dxa"/>
            <w:hideMark/>
          </w:tcPr>
          <w:p w14:paraId="7421B329" w14:textId="77777777" w:rsidR="004606CD" w:rsidRPr="00123C26" w:rsidRDefault="004606CD">
            <w:pPr>
              <w:pStyle w:val="TableText"/>
              <w:spacing w:line="240" w:lineRule="auto"/>
              <w:rPr>
                <w:rFonts w:cstheme="minorHAnsi"/>
              </w:rPr>
            </w:pPr>
            <w:r w:rsidRPr="00123C26">
              <w:rPr>
                <w:rFonts w:cstheme="minorHAnsi"/>
              </w:rPr>
              <w:t>Vikram Kenjle</w:t>
            </w:r>
          </w:p>
        </w:tc>
        <w:tc>
          <w:tcPr>
            <w:tcW w:w="4821" w:type="dxa"/>
            <w:hideMark/>
          </w:tcPr>
          <w:p w14:paraId="4BE31684" w14:textId="77777777" w:rsidR="004606CD" w:rsidRPr="00123C26" w:rsidRDefault="004606CD">
            <w:pPr>
              <w:pStyle w:val="TableText"/>
              <w:spacing w:line="240" w:lineRule="auto"/>
              <w:rPr>
                <w:rFonts w:cstheme="minorHAnsi"/>
              </w:rPr>
            </w:pPr>
            <w:r w:rsidRPr="00123C26">
              <w:rPr>
                <w:rFonts w:cstheme="minorHAnsi"/>
              </w:rPr>
              <w:t xml:space="preserve"> University of Adelaide</w:t>
            </w:r>
          </w:p>
        </w:tc>
        <w:tc>
          <w:tcPr>
            <w:tcW w:w="2126" w:type="dxa"/>
            <w:hideMark/>
          </w:tcPr>
          <w:p w14:paraId="61E3B213" w14:textId="5AF6812D" w:rsidR="004606CD" w:rsidRPr="00123C26" w:rsidRDefault="004606CD">
            <w:pPr>
              <w:pStyle w:val="TableText"/>
              <w:spacing w:line="240" w:lineRule="auto"/>
              <w:rPr>
                <w:rFonts w:cstheme="minorHAnsi"/>
              </w:rPr>
            </w:pPr>
            <w:r w:rsidRPr="00123C26">
              <w:rPr>
                <w:rFonts w:cstheme="minorHAnsi"/>
              </w:rPr>
              <w:t xml:space="preserve">Attended </w:t>
            </w:r>
          </w:p>
        </w:tc>
      </w:tr>
      <w:tr w:rsidR="004606CD" w:rsidRPr="00123C26" w14:paraId="7183641D" w14:textId="77777777">
        <w:trPr>
          <w:cnfStyle w:val="000000010000" w:firstRow="0" w:lastRow="0" w:firstColumn="0" w:lastColumn="0" w:oddVBand="0" w:evenVBand="0" w:oddHBand="0" w:evenHBand="1" w:firstRowFirstColumn="0" w:firstRowLastColumn="0" w:lastRowFirstColumn="0" w:lastRowLastColumn="0"/>
          <w:trHeight w:val="315"/>
        </w:trPr>
        <w:tc>
          <w:tcPr>
            <w:tcW w:w="9214" w:type="dxa"/>
            <w:gridSpan w:val="3"/>
            <w:shd w:val="clear" w:color="auto" w:fill="F8FEE2" w:themeFill="accent2" w:themeFillTint="33"/>
            <w:hideMark/>
          </w:tcPr>
          <w:p w14:paraId="0917CF96" w14:textId="77777777" w:rsidR="004606CD" w:rsidRPr="00123C26" w:rsidRDefault="004606CD">
            <w:pPr>
              <w:spacing w:before="0" w:after="0" w:line="240" w:lineRule="auto"/>
              <w:jc w:val="center"/>
              <w:rPr>
                <w:rFonts w:cstheme="minorHAnsi"/>
                <w:b/>
              </w:rPr>
            </w:pPr>
            <w:r w:rsidRPr="00123C26">
              <w:rPr>
                <w:rFonts w:cstheme="minorHAnsi"/>
                <w:b/>
              </w:rPr>
              <w:t>ElectraNet Representatives</w:t>
            </w:r>
          </w:p>
        </w:tc>
      </w:tr>
      <w:tr w:rsidR="004606CD" w:rsidRPr="00123C26" w14:paraId="19FD96AB"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58A49655" w14:textId="77777777" w:rsidR="004606CD" w:rsidRPr="00123C26" w:rsidRDefault="004606CD">
            <w:pPr>
              <w:pStyle w:val="TableText"/>
              <w:spacing w:line="240" w:lineRule="auto"/>
              <w:rPr>
                <w:rFonts w:cstheme="minorHAnsi"/>
                <w:lang w:val="en-US"/>
              </w:rPr>
            </w:pPr>
            <w:r w:rsidRPr="00123C26">
              <w:rPr>
                <w:rFonts w:cstheme="minorHAnsi"/>
                <w:lang w:val="en-US"/>
              </w:rPr>
              <w:t xml:space="preserve">Simon Emms </w:t>
            </w:r>
          </w:p>
        </w:tc>
        <w:tc>
          <w:tcPr>
            <w:tcW w:w="4821" w:type="dxa"/>
            <w:hideMark/>
          </w:tcPr>
          <w:p w14:paraId="3D282700" w14:textId="77777777" w:rsidR="004606CD" w:rsidRPr="00123C26" w:rsidRDefault="004606CD">
            <w:pPr>
              <w:pStyle w:val="TableText"/>
              <w:spacing w:line="240" w:lineRule="auto"/>
              <w:rPr>
                <w:rFonts w:cstheme="minorHAnsi"/>
                <w:lang w:val="en-US"/>
              </w:rPr>
            </w:pPr>
            <w:r w:rsidRPr="00123C26">
              <w:rPr>
                <w:rFonts w:cstheme="minorHAnsi"/>
                <w:lang w:val="en-US"/>
              </w:rPr>
              <w:t xml:space="preserve">CEO </w:t>
            </w:r>
          </w:p>
        </w:tc>
        <w:tc>
          <w:tcPr>
            <w:tcW w:w="2126" w:type="dxa"/>
          </w:tcPr>
          <w:p w14:paraId="486D08F6" w14:textId="77777777" w:rsidR="004606CD" w:rsidRPr="00123C26" w:rsidRDefault="004606CD">
            <w:pPr>
              <w:pStyle w:val="TableText"/>
              <w:spacing w:line="240" w:lineRule="auto"/>
              <w:rPr>
                <w:rFonts w:cstheme="minorHAnsi"/>
                <w:lang w:val="en-US"/>
              </w:rPr>
            </w:pPr>
            <w:r w:rsidRPr="00123C26">
              <w:rPr>
                <w:rFonts w:cstheme="minorHAnsi"/>
                <w:lang w:val="en-US"/>
              </w:rPr>
              <w:t>Attended</w:t>
            </w:r>
          </w:p>
        </w:tc>
      </w:tr>
      <w:tr w:rsidR="004606CD" w:rsidRPr="00123C26" w14:paraId="68F1B3E6"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tcPr>
          <w:p w14:paraId="3089D4AC" w14:textId="77777777" w:rsidR="004606CD" w:rsidRPr="00123C26" w:rsidRDefault="004606CD">
            <w:pPr>
              <w:pStyle w:val="TableText"/>
              <w:spacing w:line="240" w:lineRule="auto"/>
              <w:rPr>
                <w:rFonts w:cstheme="minorHAnsi"/>
                <w:lang w:val="en-US"/>
              </w:rPr>
            </w:pPr>
            <w:r w:rsidRPr="00123C26">
              <w:rPr>
                <w:rFonts w:cstheme="minorHAnsi"/>
                <w:lang w:val="en-US"/>
              </w:rPr>
              <w:t>Claus Repenning</w:t>
            </w:r>
          </w:p>
        </w:tc>
        <w:tc>
          <w:tcPr>
            <w:tcW w:w="4821" w:type="dxa"/>
          </w:tcPr>
          <w:p w14:paraId="32B086F4" w14:textId="77777777" w:rsidR="004606CD" w:rsidRPr="00123C26" w:rsidRDefault="004606CD">
            <w:pPr>
              <w:pStyle w:val="TableText"/>
              <w:spacing w:line="240" w:lineRule="auto"/>
              <w:rPr>
                <w:rFonts w:cstheme="minorHAnsi"/>
                <w:lang w:val="en-US"/>
              </w:rPr>
            </w:pPr>
            <w:r w:rsidRPr="00123C26">
              <w:rPr>
                <w:rFonts w:cstheme="minorHAnsi"/>
                <w:lang w:val="en-US"/>
              </w:rPr>
              <w:t xml:space="preserve">Executive Corporate Development </w:t>
            </w:r>
          </w:p>
        </w:tc>
        <w:tc>
          <w:tcPr>
            <w:tcW w:w="2126" w:type="dxa"/>
          </w:tcPr>
          <w:p w14:paraId="39360885" w14:textId="13D5FD12" w:rsidR="004606CD" w:rsidRPr="00123C26" w:rsidRDefault="004606CD">
            <w:pPr>
              <w:pStyle w:val="TableText"/>
              <w:spacing w:line="240" w:lineRule="auto"/>
              <w:rPr>
                <w:rFonts w:cstheme="minorHAnsi"/>
                <w:lang w:val="en-US"/>
              </w:rPr>
            </w:pPr>
            <w:r w:rsidRPr="00123C26">
              <w:rPr>
                <w:rFonts w:cstheme="minorHAnsi"/>
                <w:lang w:val="en-US"/>
              </w:rPr>
              <w:t xml:space="preserve">Attended </w:t>
            </w:r>
          </w:p>
        </w:tc>
      </w:tr>
      <w:tr w:rsidR="004606CD" w:rsidRPr="00123C26" w14:paraId="2FEF47CE"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1B8F79BD" w14:textId="77777777" w:rsidR="004606CD" w:rsidRPr="00123C26" w:rsidRDefault="004606CD">
            <w:pPr>
              <w:pStyle w:val="TableText"/>
              <w:spacing w:line="240" w:lineRule="auto"/>
              <w:rPr>
                <w:rFonts w:cstheme="minorHAnsi"/>
                <w:lang w:val="en-US"/>
              </w:rPr>
            </w:pPr>
            <w:r w:rsidRPr="00123C26">
              <w:rPr>
                <w:rFonts w:cstheme="minorHAnsi"/>
                <w:lang w:val="en-US"/>
              </w:rPr>
              <w:t>Jeremy Tustin</w:t>
            </w:r>
          </w:p>
        </w:tc>
        <w:tc>
          <w:tcPr>
            <w:tcW w:w="4821" w:type="dxa"/>
            <w:hideMark/>
          </w:tcPr>
          <w:p w14:paraId="6A3E12D0" w14:textId="77777777" w:rsidR="004606CD" w:rsidRPr="00123C26" w:rsidRDefault="004606CD">
            <w:pPr>
              <w:pStyle w:val="TableText"/>
              <w:spacing w:line="240" w:lineRule="auto"/>
              <w:rPr>
                <w:rFonts w:cstheme="minorHAnsi"/>
                <w:lang w:val="en-US"/>
              </w:rPr>
            </w:pPr>
            <w:r w:rsidRPr="00123C26">
              <w:rPr>
                <w:rFonts w:cstheme="minorHAnsi"/>
                <w:lang w:val="en-US"/>
              </w:rPr>
              <w:t>Head of Regulation + Corporate Affairs</w:t>
            </w:r>
          </w:p>
        </w:tc>
        <w:tc>
          <w:tcPr>
            <w:tcW w:w="2126" w:type="dxa"/>
          </w:tcPr>
          <w:p w14:paraId="6A649684" w14:textId="65B4168D" w:rsidR="004606CD" w:rsidRPr="00123C26" w:rsidRDefault="004606CD">
            <w:pPr>
              <w:pStyle w:val="TableText"/>
              <w:spacing w:line="240" w:lineRule="auto"/>
              <w:rPr>
                <w:rFonts w:cstheme="minorHAnsi"/>
                <w:lang w:val="en-US"/>
              </w:rPr>
            </w:pPr>
            <w:r w:rsidRPr="00123C26">
              <w:rPr>
                <w:rFonts w:cstheme="minorHAnsi"/>
                <w:lang w:val="en-US"/>
              </w:rPr>
              <w:t>Attended</w:t>
            </w:r>
          </w:p>
        </w:tc>
      </w:tr>
      <w:tr w:rsidR="004606CD" w:rsidRPr="00123C26" w14:paraId="32B92F79"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09A27B5D" w14:textId="77777777" w:rsidR="004606CD" w:rsidRPr="00123C26" w:rsidRDefault="004606CD">
            <w:pPr>
              <w:pStyle w:val="TableText"/>
              <w:spacing w:line="240" w:lineRule="auto"/>
              <w:rPr>
                <w:rFonts w:cstheme="minorHAnsi"/>
                <w:lang w:val="en-US"/>
              </w:rPr>
            </w:pPr>
            <w:r w:rsidRPr="00123C26">
              <w:rPr>
                <w:rFonts w:cstheme="minorHAnsi"/>
                <w:lang w:val="en-US"/>
              </w:rPr>
              <w:t>Chris Hanna</w:t>
            </w:r>
          </w:p>
        </w:tc>
        <w:tc>
          <w:tcPr>
            <w:tcW w:w="4821" w:type="dxa"/>
            <w:hideMark/>
          </w:tcPr>
          <w:p w14:paraId="396343E0" w14:textId="77777777" w:rsidR="004606CD" w:rsidRPr="00123C26" w:rsidRDefault="004606CD">
            <w:pPr>
              <w:pStyle w:val="TableText"/>
              <w:spacing w:line="240" w:lineRule="auto"/>
              <w:rPr>
                <w:rFonts w:cstheme="minorHAnsi"/>
                <w:lang w:val="en-US"/>
              </w:rPr>
            </w:pPr>
            <w:r w:rsidRPr="00123C26">
              <w:rPr>
                <w:rFonts w:cstheme="minorHAnsi"/>
                <w:lang w:val="en-US"/>
              </w:rPr>
              <w:t>Manager Corporate Affairs</w:t>
            </w:r>
          </w:p>
        </w:tc>
        <w:tc>
          <w:tcPr>
            <w:tcW w:w="2126" w:type="dxa"/>
          </w:tcPr>
          <w:p w14:paraId="302FBED8" w14:textId="700F2747" w:rsidR="004606CD" w:rsidRPr="00123C26" w:rsidRDefault="004606CD">
            <w:pPr>
              <w:pStyle w:val="TableText"/>
              <w:spacing w:line="240" w:lineRule="auto"/>
              <w:rPr>
                <w:rFonts w:cstheme="minorHAnsi"/>
                <w:lang w:val="en-US"/>
              </w:rPr>
            </w:pPr>
            <w:r w:rsidRPr="00123C26">
              <w:rPr>
                <w:rFonts w:cstheme="minorHAnsi"/>
                <w:lang w:val="en-US"/>
              </w:rPr>
              <w:t>Attended (remote)</w:t>
            </w:r>
          </w:p>
        </w:tc>
      </w:tr>
      <w:tr w:rsidR="004606CD" w:rsidRPr="00123C26" w14:paraId="4A9B6322"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hideMark/>
          </w:tcPr>
          <w:p w14:paraId="055F07FB" w14:textId="77777777" w:rsidR="004606CD" w:rsidRPr="00123C26" w:rsidRDefault="004606CD">
            <w:pPr>
              <w:pStyle w:val="TableText"/>
              <w:spacing w:line="240" w:lineRule="auto"/>
              <w:rPr>
                <w:rFonts w:cstheme="minorHAnsi"/>
                <w:lang w:val="en-US"/>
              </w:rPr>
            </w:pPr>
            <w:r w:rsidRPr="00123C26">
              <w:rPr>
                <w:rFonts w:cstheme="minorHAnsi"/>
                <w:lang w:val="en-US"/>
              </w:rPr>
              <w:t>Simon Appleby</w:t>
            </w:r>
          </w:p>
        </w:tc>
        <w:tc>
          <w:tcPr>
            <w:tcW w:w="4821" w:type="dxa"/>
            <w:hideMark/>
          </w:tcPr>
          <w:p w14:paraId="29C1E58D" w14:textId="77777777" w:rsidR="004606CD" w:rsidRPr="00123C26" w:rsidRDefault="004606CD">
            <w:pPr>
              <w:pStyle w:val="TableText"/>
              <w:spacing w:line="240" w:lineRule="auto"/>
              <w:rPr>
                <w:rFonts w:cstheme="minorHAnsi"/>
                <w:lang w:val="en-US"/>
              </w:rPr>
            </w:pPr>
            <w:r w:rsidRPr="00123C26">
              <w:rPr>
                <w:rFonts w:cstheme="minorHAnsi"/>
                <w:lang w:val="en-US"/>
              </w:rPr>
              <w:t xml:space="preserve">Director Energy Policy &amp; Strategy </w:t>
            </w:r>
          </w:p>
        </w:tc>
        <w:tc>
          <w:tcPr>
            <w:tcW w:w="2126" w:type="dxa"/>
          </w:tcPr>
          <w:p w14:paraId="0E902300" w14:textId="77777777" w:rsidR="004606CD" w:rsidRPr="00123C26" w:rsidRDefault="004606CD">
            <w:pPr>
              <w:pStyle w:val="TableText"/>
              <w:spacing w:line="240" w:lineRule="auto"/>
              <w:rPr>
                <w:rFonts w:cstheme="minorHAnsi"/>
                <w:lang w:val="en-US"/>
              </w:rPr>
            </w:pPr>
            <w:r w:rsidRPr="00123C26">
              <w:rPr>
                <w:rFonts w:cstheme="minorHAnsi"/>
                <w:lang w:val="en-US"/>
              </w:rPr>
              <w:t>Attended</w:t>
            </w:r>
          </w:p>
        </w:tc>
      </w:tr>
      <w:tr w:rsidR="004606CD" w:rsidRPr="00123C26" w14:paraId="03BAE024"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hideMark/>
          </w:tcPr>
          <w:p w14:paraId="4636E8AB" w14:textId="77777777" w:rsidR="004606CD" w:rsidRPr="00123C26" w:rsidRDefault="004606CD">
            <w:pPr>
              <w:pStyle w:val="TableText"/>
              <w:spacing w:line="240" w:lineRule="auto"/>
              <w:rPr>
                <w:rFonts w:cstheme="minorHAnsi"/>
                <w:lang w:val="en-US"/>
              </w:rPr>
            </w:pPr>
            <w:r w:rsidRPr="00123C26">
              <w:rPr>
                <w:rFonts w:cstheme="minorHAnsi"/>
                <w:lang w:val="en-US"/>
              </w:rPr>
              <w:t>Alycia Martin</w:t>
            </w:r>
          </w:p>
        </w:tc>
        <w:tc>
          <w:tcPr>
            <w:tcW w:w="4821" w:type="dxa"/>
            <w:hideMark/>
          </w:tcPr>
          <w:p w14:paraId="4388AF61" w14:textId="77777777" w:rsidR="004606CD" w:rsidRPr="00123C26" w:rsidRDefault="004606CD">
            <w:pPr>
              <w:pStyle w:val="TableText"/>
              <w:spacing w:line="240" w:lineRule="auto"/>
              <w:rPr>
                <w:rFonts w:cstheme="minorHAnsi"/>
                <w:lang w:val="en-US"/>
              </w:rPr>
            </w:pPr>
            <w:r w:rsidRPr="00123C26">
              <w:rPr>
                <w:rFonts w:cstheme="minorHAnsi"/>
                <w:lang w:val="en-US"/>
              </w:rPr>
              <w:t>Stakeholder Coordinator</w:t>
            </w:r>
          </w:p>
        </w:tc>
        <w:tc>
          <w:tcPr>
            <w:tcW w:w="2126" w:type="dxa"/>
          </w:tcPr>
          <w:p w14:paraId="6DBCEC1C" w14:textId="77777777" w:rsidR="004606CD" w:rsidRPr="00123C26" w:rsidRDefault="004606CD">
            <w:pPr>
              <w:pStyle w:val="TableText"/>
              <w:spacing w:line="240" w:lineRule="auto"/>
              <w:rPr>
                <w:rFonts w:cstheme="minorHAnsi"/>
                <w:lang w:val="en-US"/>
              </w:rPr>
            </w:pPr>
            <w:r w:rsidRPr="00123C26">
              <w:rPr>
                <w:rFonts w:cstheme="minorHAnsi"/>
                <w:lang w:val="en-US"/>
              </w:rPr>
              <w:t>Attended</w:t>
            </w:r>
          </w:p>
        </w:tc>
      </w:tr>
      <w:tr w:rsidR="004606CD" w:rsidRPr="00123C26" w14:paraId="75C6032A"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tcPr>
          <w:p w14:paraId="33358332" w14:textId="77777777" w:rsidR="004606CD" w:rsidRPr="00123C26" w:rsidRDefault="004606CD">
            <w:pPr>
              <w:pStyle w:val="TableText"/>
              <w:spacing w:line="240" w:lineRule="auto"/>
              <w:rPr>
                <w:rFonts w:cstheme="minorHAnsi"/>
                <w:lang w:val="en-US"/>
              </w:rPr>
            </w:pPr>
            <w:r w:rsidRPr="00123C26">
              <w:rPr>
                <w:rFonts w:cstheme="minorHAnsi"/>
                <w:color w:val="000000" w:themeColor="text2"/>
                <w:lang w:val="en-US"/>
              </w:rPr>
              <w:t>Bec Malhotra</w:t>
            </w:r>
          </w:p>
        </w:tc>
        <w:tc>
          <w:tcPr>
            <w:tcW w:w="4821" w:type="dxa"/>
          </w:tcPr>
          <w:p w14:paraId="26F6DEE5" w14:textId="77777777" w:rsidR="004606CD" w:rsidRPr="00123C26" w:rsidRDefault="004606CD">
            <w:pPr>
              <w:pStyle w:val="TableText"/>
              <w:spacing w:line="240" w:lineRule="auto"/>
              <w:rPr>
                <w:rFonts w:cstheme="minorHAnsi"/>
                <w:lang w:val="en-US"/>
              </w:rPr>
            </w:pPr>
            <w:r w:rsidRPr="00123C26">
              <w:rPr>
                <w:rFonts w:cstheme="minorHAnsi"/>
                <w:color w:val="000000" w:themeColor="text2"/>
              </w:rPr>
              <w:t xml:space="preserve">Manager Regulation </w:t>
            </w:r>
          </w:p>
        </w:tc>
        <w:tc>
          <w:tcPr>
            <w:tcW w:w="2126" w:type="dxa"/>
          </w:tcPr>
          <w:p w14:paraId="67D1C6D7" w14:textId="77777777" w:rsidR="004606CD" w:rsidRPr="00123C26" w:rsidRDefault="004606CD">
            <w:pPr>
              <w:pStyle w:val="TableText"/>
              <w:spacing w:line="240" w:lineRule="auto"/>
              <w:rPr>
                <w:rFonts w:cstheme="minorHAnsi"/>
                <w:lang w:val="en-US"/>
              </w:rPr>
            </w:pPr>
            <w:r w:rsidRPr="00123C26">
              <w:rPr>
                <w:rFonts w:cstheme="minorHAnsi"/>
                <w:lang w:val="en-US"/>
              </w:rPr>
              <w:t>Attended (part)</w:t>
            </w:r>
          </w:p>
        </w:tc>
      </w:tr>
      <w:tr w:rsidR="004606CD" w:rsidRPr="00123C26" w14:paraId="18F5ADD7"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shd w:val="clear" w:color="auto" w:fill="FFFFFF" w:themeFill="background2"/>
          </w:tcPr>
          <w:p w14:paraId="67A50334" w14:textId="77777777" w:rsidR="004606CD" w:rsidRPr="00123C26" w:rsidRDefault="004606CD">
            <w:pPr>
              <w:pStyle w:val="TableText"/>
              <w:spacing w:line="240" w:lineRule="auto"/>
              <w:rPr>
                <w:rFonts w:cstheme="minorHAnsi"/>
                <w:color w:val="000000" w:themeColor="text1"/>
                <w:lang w:val="en-US"/>
              </w:rPr>
            </w:pPr>
            <w:r w:rsidRPr="00123C26">
              <w:rPr>
                <w:rFonts w:cstheme="minorHAnsi"/>
                <w:color w:val="000000" w:themeColor="text2"/>
                <w:lang w:val="en-US"/>
              </w:rPr>
              <w:t>Brad Harrison</w:t>
            </w:r>
          </w:p>
        </w:tc>
        <w:tc>
          <w:tcPr>
            <w:tcW w:w="4821" w:type="dxa"/>
            <w:shd w:val="clear" w:color="auto" w:fill="FFFFFF" w:themeFill="background2"/>
          </w:tcPr>
          <w:p w14:paraId="4078D44E" w14:textId="77777777" w:rsidR="004606CD" w:rsidRPr="00123C26" w:rsidRDefault="004606CD">
            <w:pPr>
              <w:pStyle w:val="TableText"/>
              <w:spacing w:line="240" w:lineRule="auto"/>
              <w:rPr>
                <w:rFonts w:cstheme="minorHAnsi"/>
                <w:color w:val="000000" w:themeColor="text1"/>
              </w:rPr>
            </w:pPr>
            <w:r w:rsidRPr="00123C26">
              <w:rPr>
                <w:rFonts w:cstheme="minorHAnsi"/>
                <w:color w:val="000000" w:themeColor="text2"/>
              </w:rPr>
              <w:t>Manager Network Planning</w:t>
            </w:r>
          </w:p>
        </w:tc>
        <w:tc>
          <w:tcPr>
            <w:tcW w:w="2126" w:type="dxa"/>
            <w:shd w:val="clear" w:color="auto" w:fill="FFFFFF" w:themeFill="background2"/>
          </w:tcPr>
          <w:p w14:paraId="76759C2F" w14:textId="77777777" w:rsidR="004606CD" w:rsidRPr="00123C26" w:rsidRDefault="004606CD">
            <w:pPr>
              <w:pStyle w:val="TableText"/>
              <w:spacing w:line="240" w:lineRule="auto"/>
              <w:rPr>
                <w:rFonts w:cstheme="minorHAnsi"/>
                <w:color w:val="000000" w:themeColor="text1"/>
                <w:lang w:val="en-US"/>
              </w:rPr>
            </w:pPr>
            <w:r w:rsidRPr="00123C26">
              <w:rPr>
                <w:rFonts w:cstheme="minorHAnsi"/>
                <w:lang w:val="en-US"/>
              </w:rPr>
              <w:t>Attended (part)</w:t>
            </w:r>
          </w:p>
        </w:tc>
      </w:tr>
      <w:tr w:rsidR="004606CD" w:rsidRPr="00123C26" w14:paraId="40D40D5E" w14:textId="77777777">
        <w:trPr>
          <w:cnfStyle w:val="000000100000" w:firstRow="0" w:lastRow="0" w:firstColumn="0" w:lastColumn="0" w:oddVBand="0" w:evenVBand="0" w:oddHBand="1" w:evenHBand="0" w:firstRowFirstColumn="0" w:firstRowLastColumn="0" w:lastRowFirstColumn="0" w:lastRowLastColumn="0"/>
          <w:trHeight w:val="104"/>
        </w:trPr>
        <w:tc>
          <w:tcPr>
            <w:tcW w:w="9214" w:type="dxa"/>
            <w:gridSpan w:val="3"/>
            <w:shd w:val="clear" w:color="auto" w:fill="F8FEE2" w:themeFill="accent2" w:themeFillTint="33"/>
          </w:tcPr>
          <w:p w14:paraId="68FCAF0A" w14:textId="77777777" w:rsidR="004606CD" w:rsidRPr="00123C26" w:rsidRDefault="004606CD">
            <w:pPr>
              <w:spacing w:before="0" w:after="0" w:line="240" w:lineRule="auto"/>
              <w:jc w:val="center"/>
              <w:rPr>
                <w:rFonts w:cstheme="minorHAnsi"/>
                <w:color w:val="000000" w:themeColor="text1"/>
                <w:lang w:val="en-US"/>
              </w:rPr>
            </w:pPr>
            <w:r w:rsidRPr="00123C26">
              <w:rPr>
                <w:rFonts w:cstheme="minorHAnsi"/>
                <w:b/>
              </w:rPr>
              <w:t>External Representatives</w:t>
            </w:r>
          </w:p>
        </w:tc>
      </w:tr>
      <w:tr w:rsidR="004606CD" w:rsidRPr="00123C26" w14:paraId="52EE5F79" w14:textId="77777777">
        <w:trPr>
          <w:cnfStyle w:val="000000010000" w:firstRow="0" w:lastRow="0" w:firstColumn="0" w:lastColumn="0" w:oddVBand="0" w:evenVBand="0" w:oddHBand="0" w:evenHBand="1" w:firstRowFirstColumn="0" w:firstRowLastColumn="0" w:lastRowFirstColumn="0" w:lastRowLastColumn="0"/>
          <w:trHeight w:val="28"/>
        </w:trPr>
        <w:tc>
          <w:tcPr>
            <w:tcW w:w="2267" w:type="dxa"/>
            <w:shd w:val="clear" w:color="auto" w:fill="FFFFFF" w:themeFill="background2"/>
          </w:tcPr>
          <w:p w14:paraId="221196DB" w14:textId="5E219CFF" w:rsidR="004606CD" w:rsidRPr="00123C26" w:rsidRDefault="008328F5">
            <w:pPr>
              <w:pStyle w:val="TableText"/>
              <w:spacing w:line="240" w:lineRule="auto"/>
              <w:rPr>
                <w:rFonts w:cstheme="minorHAnsi"/>
                <w:color w:val="000000" w:themeColor="text1"/>
              </w:rPr>
            </w:pPr>
            <w:r w:rsidRPr="00123C26">
              <w:rPr>
                <w:rFonts w:cstheme="minorHAnsi"/>
                <w:color w:val="000000" w:themeColor="text1"/>
              </w:rPr>
              <w:t xml:space="preserve">Jarrad Pilkington </w:t>
            </w:r>
          </w:p>
        </w:tc>
        <w:tc>
          <w:tcPr>
            <w:tcW w:w="4821" w:type="dxa"/>
            <w:shd w:val="clear" w:color="auto" w:fill="FFFFFF" w:themeFill="background2"/>
          </w:tcPr>
          <w:p w14:paraId="17D522E2" w14:textId="29123901" w:rsidR="004606CD" w:rsidRPr="00123C26" w:rsidRDefault="008328F5">
            <w:pPr>
              <w:pStyle w:val="TableText"/>
              <w:spacing w:line="240" w:lineRule="auto"/>
              <w:rPr>
                <w:rFonts w:cstheme="minorHAnsi"/>
                <w:color w:val="000000" w:themeColor="text1"/>
              </w:rPr>
            </w:pPr>
            <w:r w:rsidRPr="00123C26">
              <w:rPr>
                <w:rFonts w:cstheme="minorHAnsi"/>
                <w:color w:val="000000" w:themeColor="text1"/>
              </w:rPr>
              <w:t>Dept</w:t>
            </w:r>
            <w:r w:rsidR="00FD3ED4" w:rsidRPr="00123C26">
              <w:rPr>
                <w:rFonts w:cstheme="minorHAnsi"/>
                <w:color w:val="000000" w:themeColor="text1"/>
              </w:rPr>
              <w:t xml:space="preserve"> for Energy and Mining </w:t>
            </w:r>
          </w:p>
        </w:tc>
        <w:tc>
          <w:tcPr>
            <w:tcW w:w="2126" w:type="dxa"/>
            <w:shd w:val="clear" w:color="auto" w:fill="FFFFFF" w:themeFill="background2"/>
          </w:tcPr>
          <w:p w14:paraId="66A7EAFA" w14:textId="56BA3518" w:rsidR="004606CD" w:rsidRPr="00123C26" w:rsidRDefault="004606CD">
            <w:pPr>
              <w:pStyle w:val="TableText"/>
              <w:spacing w:line="240" w:lineRule="auto"/>
              <w:rPr>
                <w:rFonts w:cstheme="minorHAnsi"/>
                <w:color w:val="000000" w:themeColor="text1"/>
              </w:rPr>
            </w:pPr>
            <w:r w:rsidRPr="00123C26">
              <w:rPr>
                <w:rFonts w:cstheme="minorHAnsi"/>
                <w:color w:val="000000" w:themeColor="text1"/>
                <w:lang w:val="en-US"/>
              </w:rPr>
              <w:t>Attended (</w:t>
            </w:r>
            <w:r w:rsidR="00FD3ED4" w:rsidRPr="00123C26">
              <w:rPr>
                <w:rFonts w:cstheme="minorHAnsi"/>
                <w:color w:val="000000" w:themeColor="text1"/>
                <w:lang w:val="en-US"/>
              </w:rPr>
              <w:t>remote)</w:t>
            </w:r>
          </w:p>
        </w:tc>
      </w:tr>
      <w:tr w:rsidR="004606CD" w:rsidRPr="00123C26" w14:paraId="2737A5C5" w14:textId="77777777">
        <w:trPr>
          <w:cnfStyle w:val="000000100000" w:firstRow="0" w:lastRow="0" w:firstColumn="0" w:lastColumn="0" w:oddVBand="0" w:evenVBand="0" w:oddHBand="1" w:evenHBand="0" w:firstRowFirstColumn="0" w:firstRowLastColumn="0" w:lastRowFirstColumn="0" w:lastRowLastColumn="0"/>
          <w:trHeight w:val="13"/>
        </w:trPr>
        <w:tc>
          <w:tcPr>
            <w:tcW w:w="2267" w:type="dxa"/>
            <w:shd w:val="clear" w:color="auto" w:fill="FFFFFF" w:themeFill="background2"/>
          </w:tcPr>
          <w:p w14:paraId="1DD178F4" w14:textId="753EB066" w:rsidR="004606CD" w:rsidRPr="00123C26" w:rsidRDefault="00970FA3">
            <w:pPr>
              <w:pStyle w:val="TableText"/>
              <w:spacing w:line="240" w:lineRule="auto"/>
              <w:rPr>
                <w:rFonts w:cstheme="minorHAnsi"/>
                <w:color w:val="000000" w:themeColor="text1"/>
              </w:rPr>
            </w:pPr>
            <w:r w:rsidRPr="00123C26">
              <w:rPr>
                <w:rFonts w:cstheme="minorHAnsi"/>
                <w:color w:val="000000" w:themeColor="text1"/>
              </w:rPr>
              <w:t>Hai Nguyen</w:t>
            </w:r>
          </w:p>
        </w:tc>
        <w:tc>
          <w:tcPr>
            <w:tcW w:w="4821" w:type="dxa"/>
            <w:shd w:val="clear" w:color="auto" w:fill="FFFFFF" w:themeFill="background2"/>
          </w:tcPr>
          <w:p w14:paraId="0819F3DF" w14:textId="03AD865F" w:rsidR="004606CD" w:rsidRPr="00123C26" w:rsidRDefault="00970FA3">
            <w:pPr>
              <w:pStyle w:val="TableText"/>
              <w:spacing w:line="240" w:lineRule="auto"/>
              <w:rPr>
                <w:rFonts w:cstheme="minorHAnsi"/>
                <w:color w:val="000000" w:themeColor="text1"/>
              </w:rPr>
            </w:pPr>
            <w:r w:rsidRPr="00123C26">
              <w:rPr>
                <w:rFonts w:cstheme="minorHAnsi"/>
                <w:color w:val="000000" w:themeColor="text1"/>
              </w:rPr>
              <w:t xml:space="preserve">Dept for Energy and Mining </w:t>
            </w:r>
          </w:p>
        </w:tc>
        <w:tc>
          <w:tcPr>
            <w:tcW w:w="2126" w:type="dxa"/>
            <w:shd w:val="clear" w:color="auto" w:fill="FFFFFF" w:themeFill="background2"/>
          </w:tcPr>
          <w:p w14:paraId="66AD7392" w14:textId="091F075A" w:rsidR="004606CD" w:rsidRPr="00123C26" w:rsidRDefault="00970FA3">
            <w:pPr>
              <w:pStyle w:val="TableText"/>
              <w:spacing w:line="240" w:lineRule="auto"/>
              <w:rPr>
                <w:rFonts w:cstheme="minorHAnsi"/>
                <w:color w:val="000000" w:themeColor="text1"/>
              </w:rPr>
            </w:pPr>
            <w:r w:rsidRPr="00123C26">
              <w:rPr>
                <w:rFonts w:cstheme="minorHAnsi"/>
                <w:color w:val="000000" w:themeColor="text1"/>
                <w:lang w:val="en-US"/>
              </w:rPr>
              <w:t>Attended (remote)</w:t>
            </w:r>
          </w:p>
        </w:tc>
      </w:tr>
      <w:tr w:rsidR="00970FA3" w:rsidRPr="00123C26" w14:paraId="4BD1653C" w14:textId="77777777">
        <w:trPr>
          <w:cnfStyle w:val="000000010000" w:firstRow="0" w:lastRow="0" w:firstColumn="0" w:lastColumn="0" w:oddVBand="0" w:evenVBand="0" w:oddHBand="0" w:evenHBand="1" w:firstRowFirstColumn="0" w:firstRowLastColumn="0" w:lastRowFirstColumn="0" w:lastRowLastColumn="0"/>
          <w:trHeight w:val="13"/>
        </w:trPr>
        <w:tc>
          <w:tcPr>
            <w:tcW w:w="2267" w:type="dxa"/>
            <w:shd w:val="clear" w:color="auto" w:fill="FFFFFF" w:themeFill="background2"/>
          </w:tcPr>
          <w:p w14:paraId="057FA1B1" w14:textId="7A87D204" w:rsidR="00970FA3" w:rsidRPr="00123C26" w:rsidRDefault="00970FA3">
            <w:pPr>
              <w:pStyle w:val="TableText"/>
              <w:spacing w:line="240" w:lineRule="auto"/>
              <w:rPr>
                <w:rFonts w:cstheme="minorHAnsi"/>
                <w:color w:val="000000" w:themeColor="text1"/>
              </w:rPr>
            </w:pPr>
            <w:r w:rsidRPr="00123C26">
              <w:rPr>
                <w:rFonts w:cstheme="minorHAnsi"/>
                <w:color w:val="000000" w:themeColor="text1"/>
              </w:rPr>
              <w:t>Andrew Turley</w:t>
            </w:r>
          </w:p>
        </w:tc>
        <w:tc>
          <w:tcPr>
            <w:tcW w:w="4821" w:type="dxa"/>
            <w:shd w:val="clear" w:color="auto" w:fill="FFFFFF" w:themeFill="background2"/>
          </w:tcPr>
          <w:p w14:paraId="0C6AA433" w14:textId="5929854F" w:rsidR="00970FA3" w:rsidRPr="00123C26" w:rsidRDefault="00970FA3">
            <w:pPr>
              <w:pStyle w:val="TableText"/>
              <w:spacing w:line="240" w:lineRule="auto"/>
              <w:rPr>
                <w:rFonts w:cstheme="minorHAnsi"/>
                <w:color w:val="000000" w:themeColor="text1"/>
              </w:rPr>
            </w:pPr>
            <w:r w:rsidRPr="00123C26">
              <w:rPr>
                <w:rFonts w:cstheme="minorHAnsi"/>
                <w:color w:val="000000" w:themeColor="text1"/>
              </w:rPr>
              <w:t>AEMO</w:t>
            </w:r>
          </w:p>
        </w:tc>
        <w:tc>
          <w:tcPr>
            <w:tcW w:w="2126" w:type="dxa"/>
            <w:shd w:val="clear" w:color="auto" w:fill="FFFFFF" w:themeFill="background2"/>
          </w:tcPr>
          <w:p w14:paraId="7229E209" w14:textId="28EC0AFB" w:rsidR="00970FA3" w:rsidRPr="00123C26" w:rsidRDefault="00970FA3">
            <w:pPr>
              <w:pStyle w:val="TableText"/>
              <w:spacing w:line="240" w:lineRule="auto"/>
              <w:rPr>
                <w:rFonts w:cstheme="minorHAnsi"/>
                <w:color w:val="000000" w:themeColor="text1"/>
                <w:lang w:val="en-US"/>
              </w:rPr>
            </w:pPr>
            <w:r w:rsidRPr="00123C26">
              <w:rPr>
                <w:rFonts w:cstheme="minorHAnsi"/>
                <w:color w:val="000000" w:themeColor="text1"/>
                <w:lang w:val="en-US"/>
              </w:rPr>
              <w:t>Attended (remote)</w:t>
            </w:r>
          </w:p>
        </w:tc>
      </w:tr>
      <w:tr w:rsidR="00970FA3" w:rsidRPr="00123C26" w14:paraId="7B19D15F" w14:textId="77777777">
        <w:trPr>
          <w:cnfStyle w:val="010000000000" w:firstRow="0" w:lastRow="1" w:firstColumn="0" w:lastColumn="0" w:oddVBand="0" w:evenVBand="0" w:oddHBand="0" w:evenHBand="0" w:firstRowFirstColumn="0" w:firstRowLastColumn="0" w:lastRowFirstColumn="0" w:lastRowLastColumn="0"/>
          <w:trHeight w:val="13"/>
        </w:trPr>
        <w:tc>
          <w:tcPr>
            <w:tcW w:w="2267" w:type="dxa"/>
            <w:shd w:val="clear" w:color="auto" w:fill="FFFFFF" w:themeFill="background2"/>
          </w:tcPr>
          <w:p w14:paraId="67353C9D" w14:textId="3CBD7887" w:rsidR="00970FA3" w:rsidRPr="00123C26" w:rsidRDefault="00970FA3" w:rsidP="00970FA3">
            <w:pPr>
              <w:pStyle w:val="TableText"/>
              <w:spacing w:line="240" w:lineRule="auto"/>
              <w:rPr>
                <w:rFonts w:cstheme="minorHAnsi"/>
                <w:color w:val="000000" w:themeColor="text1"/>
              </w:rPr>
            </w:pPr>
            <w:r w:rsidRPr="00123C26">
              <w:rPr>
                <w:rFonts w:cstheme="minorHAnsi"/>
                <w:color w:val="000000" w:themeColor="text1"/>
              </w:rPr>
              <w:t>Debborah Marsh</w:t>
            </w:r>
          </w:p>
        </w:tc>
        <w:tc>
          <w:tcPr>
            <w:tcW w:w="4821" w:type="dxa"/>
            <w:shd w:val="clear" w:color="auto" w:fill="FFFFFF" w:themeFill="background2"/>
          </w:tcPr>
          <w:p w14:paraId="00634BF9" w14:textId="7DE74643" w:rsidR="00970FA3" w:rsidRPr="00123C26" w:rsidRDefault="00970FA3" w:rsidP="00970FA3">
            <w:pPr>
              <w:pStyle w:val="TableText"/>
              <w:spacing w:line="240" w:lineRule="auto"/>
              <w:rPr>
                <w:rFonts w:cstheme="minorHAnsi"/>
                <w:color w:val="000000" w:themeColor="text1"/>
              </w:rPr>
            </w:pPr>
            <w:r w:rsidRPr="00123C26">
              <w:rPr>
                <w:rFonts w:cstheme="minorHAnsi"/>
                <w:color w:val="000000" w:themeColor="text1"/>
              </w:rPr>
              <w:t>AEMO</w:t>
            </w:r>
          </w:p>
        </w:tc>
        <w:tc>
          <w:tcPr>
            <w:tcW w:w="2126" w:type="dxa"/>
            <w:shd w:val="clear" w:color="auto" w:fill="FFFFFF" w:themeFill="background2"/>
          </w:tcPr>
          <w:p w14:paraId="2A0280A2" w14:textId="6B94F9DA" w:rsidR="00970FA3" w:rsidRPr="00123C26" w:rsidRDefault="00970FA3" w:rsidP="5FD8169A">
            <w:pPr>
              <w:pStyle w:val="TableText"/>
              <w:spacing w:line="240" w:lineRule="auto"/>
              <w:rPr>
                <w:rFonts w:cstheme="minorBidi"/>
                <w:color w:val="000000" w:themeColor="text2"/>
                <w:lang w:val="en-US"/>
              </w:rPr>
            </w:pPr>
            <w:r w:rsidRPr="5FD8169A">
              <w:rPr>
                <w:rFonts w:cstheme="minorBidi"/>
                <w:color w:val="000000" w:themeColor="text2"/>
                <w:lang w:val="en-US"/>
              </w:rPr>
              <w:t>Attended (remote)</w:t>
            </w:r>
          </w:p>
          <w:p w14:paraId="7C664960" w14:textId="2CF7F88F" w:rsidR="00970FA3" w:rsidRPr="00123C26" w:rsidRDefault="00970FA3" w:rsidP="00970FA3">
            <w:pPr>
              <w:pStyle w:val="TableText"/>
              <w:spacing w:line="240" w:lineRule="auto"/>
              <w:rPr>
                <w:rFonts w:cstheme="minorBidi"/>
                <w:color w:val="000000" w:themeColor="text1"/>
                <w:lang w:val="en-US"/>
              </w:rPr>
            </w:pPr>
          </w:p>
        </w:tc>
      </w:tr>
    </w:tbl>
    <w:p w14:paraId="1CDF4877" w14:textId="1DAFA3C4" w:rsidR="004606CD" w:rsidRPr="00FB4062" w:rsidRDefault="004606CD" w:rsidP="00970FA3">
      <w:pPr>
        <w:pStyle w:val="Heading2Numbered"/>
        <w:ind w:left="284" w:hanging="360"/>
        <w:rPr>
          <w:rFonts w:asciiTheme="minorHAnsi" w:hAnsiTheme="minorHAnsi" w:cstheme="minorHAnsi"/>
          <w:b/>
          <w:bCs/>
        </w:rPr>
      </w:pPr>
      <w:r w:rsidRPr="00FB4062">
        <w:rPr>
          <w:rFonts w:asciiTheme="minorHAnsi" w:hAnsiTheme="minorHAnsi" w:cstheme="minorHAnsi"/>
          <w:b/>
          <w:bCs/>
        </w:rPr>
        <w:t>Welcome</w:t>
      </w:r>
      <w:r w:rsidR="0016507F">
        <w:rPr>
          <w:rFonts w:asciiTheme="minorHAnsi" w:hAnsiTheme="minorHAnsi" w:cstheme="minorHAnsi"/>
          <w:b/>
          <w:bCs/>
        </w:rPr>
        <w:t xml:space="preserve"> &amp; </w:t>
      </w:r>
      <w:r w:rsidR="00243B4E">
        <w:rPr>
          <w:rFonts w:asciiTheme="minorHAnsi" w:hAnsiTheme="minorHAnsi" w:cstheme="minorHAnsi"/>
          <w:b/>
          <w:bCs/>
        </w:rPr>
        <w:t>Actions</w:t>
      </w:r>
    </w:p>
    <w:p w14:paraId="2271B65C" w14:textId="788D0339" w:rsidR="00C0602E" w:rsidRPr="00A65E2A" w:rsidRDefault="004606CD" w:rsidP="00BD62FB">
      <w:pPr>
        <w:spacing w:after="160" w:line="240" w:lineRule="auto"/>
        <w:rPr>
          <w:rFonts w:eastAsiaTheme="minorEastAsia" w:cstheme="minorBidi"/>
          <w:sz w:val="22"/>
          <w:szCs w:val="22"/>
          <w:lang w:eastAsia="en-AU"/>
        </w:rPr>
      </w:pPr>
      <w:r w:rsidRPr="00A65E2A">
        <w:rPr>
          <w:rFonts w:eastAsiaTheme="minorEastAsia" w:cstheme="minorBidi"/>
          <w:b/>
          <w:sz w:val="22"/>
          <w:szCs w:val="22"/>
          <w:lang w:eastAsia="en-AU"/>
        </w:rPr>
        <w:t xml:space="preserve">Leanne Muffet </w:t>
      </w:r>
      <w:r w:rsidRPr="00A65E2A">
        <w:rPr>
          <w:rFonts w:eastAsiaTheme="minorEastAsia" w:cstheme="minorBidi"/>
          <w:sz w:val="22"/>
          <w:szCs w:val="22"/>
          <w:lang w:eastAsia="en-AU"/>
        </w:rPr>
        <w:t xml:space="preserve">(CAP </w:t>
      </w:r>
      <w:r w:rsidR="00EE63A5" w:rsidRPr="00A65E2A">
        <w:rPr>
          <w:rFonts w:eastAsiaTheme="minorEastAsia" w:cstheme="minorBidi"/>
          <w:sz w:val="22"/>
          <w:szCs w:val="22"/>
          <w:lang w:eastAsia="en-AU"/>
        </w:rPr>
        <w:t xml:space="preserve">Independent </w:t>
      </w:r>
      <w:r w:rsidRPr="00A65E2A">
        <w:rPr>
          <w:rFonts w:eastAsiaTheme="minorEastAsia" w:cstheme="minorBidi"/>
          <w:sz w:val="22"/>
          <w:szCs w:val="22"/>
          <w:lang w:eastAsia="en-AU"/>
        </w:rPr>
        <w:t>Facilitator) opened the meeting and led the Acknowledgement of Country.</w:t>
      </w:r>
      <w:r w:rsidR="00214980" w:rsidRPr="00A65E2A">
        <w:rPr>
          <w:rFonts w:eastAsiaTheme="minorEastAsia" w:cstheme="minorBidi"/>
          <w:sz w:val="22"/>
          <w:szCs w:val="22"/>
          <w:lang w:eastAsia="en-AU"/>
        </w:rPr>
        <w:t xml:space="preserve"> </w:t>
      </w:r>
    </w:p>
    <w:p w14:paraId="246E39ED" w14:textId="3E6CD7A7" w:rsidR="002D3AFB" w:rsidRPr="00A65E2A" w:rsidRDefault="00214980" w:rsidP="00BD62FB">
      <w:pPr>
        <w:spacing w:after="160" w:line="240" w:lineRule="auto"/>
        <w:rPr>
          <w:rFonts w:eastAsiaTheme="minorEastAsia" w:cstheme="minorHAnsi"/>
          <w:sz w:val="22"/>
          <w:szCs w:val="22"/>
          <w:lang w:eastAsia="en-AU"/>
        </w:rPr>
      </w:pPr>
      <w:r w:rsidRPr="00A65E2A">
        <w:rPr>
          <w:rFonts w:eastAsiaTheme="minorEastAsia" w:cstheme="minorBidi"/>
          <w:sz w:val="22"/>
          <w:szCs w:val="22"/>
          <w:lang w:eastAsia="en-AU"/>
        </w:rPr>
        <w:t xml:space="preserve">It was noted that Andrew Richards was an apology. </w:t>
      </w:r>
      <w:r w:rsidR="00EE63A5" w:rsidRPr="00A65E2A">
        <w:rPr>
          <w:rFonts w:eastAsiaTheme="minorEastAsia" w:cstheme="minorBidi"/>
          <w:sz w:val="22"/>
          <w:szCs w:val="22"/>
          <w:lang w:eastAsia="en-AU"/>
        </w:rPr>
        <w:t xml:space="preserve"> Mark Henley and Kelly-Anne Saffin were online</w:t>
      </w:r>
      <w:r w:rsidR="0003682C" w:rsidRPr="00A65E2A">
        <w:rPr>
          <w:rFonts w:eastAsiaTheme="minorEastAsia" w:cstheme="minorBidi"/>
          <w:sz w:val="22"/>
          <w:szCs w:val="22"/>
          <w:lang w:eastAsia="en-AU"/>
        </w:rPr>
        <w:t>.</w:t>
      </w:r>
    </w:p>
    <w:p w14:paraId="3D315EB6" w14:textId="2C5776C2" w:rsidR="003B319A" w:rsidRPr="00A65E2A" w:rsidRDefault="31518E1E" w:rsidP="00BD62FB">
      <w:pPr>
        <w:spacing w:after="160" w:line="240" w:lineRule="auto"/>
        <w:rPr>
          <w:rFonts w:eastAsiaTheme="minorEastAsia" w:cstheme="minorBidi"/>
          <w:sz w:val="22"/>
          <w:szCs w:val="22"/>
        </w:rPr>
      </w:pPr>
      <w:r w:rsidRPr="00A65E2A">
        <w:rPr>
          <w:rFonts w:eastAsiaTheme="minorEastAsia" w:cstheme="minorBidi"/>
          <w:sz w:val="22"/>
          <w:szCs w:val="22"/>
        </w:rPr>
        <w:t>The minutes and actions from the meeting held on 15 May 2025 were approved</w:t>
      </w:r>
      <w:r w:rsidRPr="00A65E2A">
        <w:rPr>
          <w:rFonts w:eastAsiaTheme="minorEastAsia" w:cstheme="minorBidi"/>
          <w:i/>
          <w:iCs/>
          <w:sz w:val="22"/>
          <w:szCs w:val="22"/>
        </w:rPr>
        <w:t>.</w:t>
      </w:r>
    </w:p>
    <w:p w14:paraId="48F4B870" w14:textId="0467037A" w:rsidR="00B4256A" w:rsidRPr="00A65E2A" w:rsidRDefault="002D3AFB" w:rsidP="00BD62FB">
      <w:pPr>
        <w:spacing w:after="160" w:line="240" w:lineRule="auto"/>
        <w:rPr>
          <w:rFonts w:eastAsiaTheme="minorEastAsia" w:cstheme="minorBidi"/>
          <w:i/>
          <w:iCs/>
          <w:sz w:val="22"/>
          <w:szCs w:val="22"/>
        </w:rPr>
      </w:pPr>
      <w:r w:rsidRPr="00A65E2A">
        <w:rPr>
          <w:rFonts w:eastAsiaTheme="minorEastAsia" w:cstheme="minorBidi"/>
          <w:sz w:val="22"/>
          <w:szCs w:val="22"/>
        </w:rPr>
        <w:t xml:space="preserve">Previous </w:t>
      </w:r>
      <w:r w:rsidR="0085110D" w:rsidRPr="00A65E2A">
        <w:rPr>
          <w:rFonts w:eastAsiaTheme="minorEastAsia" w:cstheme="minorBidi"/>
          <w:sz w:val="22"/>
          <w:szCs w:val="22"/>
        </w:rPr>
        <w:t xml:space="preserve">Action item </w:t>
      </w:r>
      <w:r w:rsidRPr="00A65E2A">
        <w:rPr>
          <w:rFonts w:eastAsiaTheme="minorEastAsia" w:cstheme="minorBidi"/>
          <w:sz w:val="22"/>
          <w:szCs w:val="22"/>
        </w:rPr>
        <w:t>–</w:t>
      </w:r>
      <w:r w:rsidR="0085110D" w:rsidRPr="1A31C004">
        <w:rPr>
          <w:rFonts w:eastAsiaTheme="minorEastAsia" w:cstheme="minorBidi"/>
          <w:i/>
          <w:iCs/>
          <w:sz w:val="22"/>
          <w:szCs w:val="22"/>
        </w:rPr>
        <w:t xml:space="preserve"> </w:t>
      </w:r>
      <w:r w:rsidRPr="1A31C004">
        <w:rPr>
          <w:rFonts w:eastAsiaTheme="minorEastAsia" w:cstheme="minorBidi"/>
          <w:i/>
          <w:iCs/>
          <w:sz w:val="22"/>
          <w:szCs w:val="22"/>
        </w:rPr>
        <w:t>“</w:t>
      </w:r>
      <w:r w:rsidR="0085110D" w:rsidRPr="1A31C004">
        <w:rPr>
          <w:rFonts w:eastAsiaTheme="minorEastAsia" w:cstheme="minorBidi"/>
          <w:i/>
          <w:iCs/>
          <w:sz w:val="22"/>
          <w:szCs w:val="22"/>
        </w:rPr>
        <w:t>Add an agenda item to the next RR</w:t>
      </w:r>
      <w:r w:rsidR="00BC6EA2" w:rsidRPr="1A31C004">
        <w:rPr>
          <w:rFonts w:eastAsiaTheme="minorEastAsia" w:cstheme="minorBidi"/>
          <w:i/>
          <w:iCs/>
          <w:sz w:val="22"/>
          <w:szCs w:val="22"/>
        </w:rPr>
        <w:t xml:space="preserve">RG meeting to </w:t>
      </w:r>
      <w:r w:rsidR="003D16C0" w:rsidRPr="1A31C004">
        <w:rPr>
          <w:rFonts w:eastAsiaTheme="minorEastAsia" w:cstheme="minorBidi"/>
          <w:i/>
          <w:iCs/>
          <w:sz w:val="22"/>
          <w:szCs w:val="22"/>
        </w:rPr>
        <w:t>clarify</w:t>
      </w:r>
      <w:r w:rsidR="00BC6EA2" w:rsidRPr="1A31C004">
        <w:rPr>
          <w:rFonts w:eastAsiaTheme="minorEastAsia" w:cstheme="minorBidi"/>
          <w:i/>
          <w:iCs/>
          <w:sz w:val="22"/>
          <w:szCs w:val="22"/>
        </w:rPr>
        <w:t xml:space="preserve"> the role responsibilities</w:t>
      </w:r>
      <w:r w:rsidR="009F2327" w:rsidRPr="1A31C004">
        <w:rPr>
          <w:rFonts w:eastAsiaTheme="minorEastAsia" w:cstheme="minorBidi"/>
          <w:i/>
          <w:iCs/>
          <w:sz w:val="22"/>
          <w:szCs w:val="22"/>
        </w:rPr>
        <w:t>, and expected outcomes of the RRRG, including its reporting lines to the AER and the Consumer Challenge Panel (CCP)</w:t>
      </w:r>
      <w:r w:rsidRPr="1A31C004">
        <w:rPr>
          <w:rFonts w:eastAsiaTheme="minorEastAsia" w:cstheme="minorBidi"/>
          <w:i/>
          <w:iCs/>
          <w:sz w:val="22"/>
          <w:szCs w:val="22"/>
        </w:rPr>
        <w:t>”</w:t>
      </w:r>
      <w:r w:rsidR="000363A6" w:rsidRPr="1A31C004">
        <w:rPr>
          <w:rFonts w:eastAsiaTheme="minorEastAsia" w:cstheme="minorBidi"/>
          <w:i/>
          <w:iCs/>
          <w:sz w:val="22"/>
          <w:szCs w:val="22"/>
        </w:rPr>
        <w:t xml:space="preserve"> </w:t>
      </w:r>
      <w:r w:rsidR="00B4256A" w:rsidRPr="00A65E2A">
        <w:rPr>
          <w:rFonts w:eastAsiaTheme="minorEastAsia" w:cstheme="minorBidi"/>
          <w:sz w:val="22"/>
          <w:szCs w:val="22"/>
        </w:rPr>
        <w:t>was discussed in detail, and a clear outcome was agreed</w:t>
      </w:r>
      <w:r w:rsidR="00C6129B" w:rsidRPr="1A31C004">
        <w:rPr>
          <w:rFonts w:eastAsiaTheme="minorEastAsia" w:cstheme="minorBidi"/>
          <w:sz w:val="22"/>
          <w:szCs w:val="22"/>
        </w:rPr>
        <w:t>, as follows</w:t>
      </w:r>
      <w:r w:rsidR="00B4256A" w:rsidRPr="00A65E2A">
        <w:rPr>
          <w:rFonts w:eastAsiaTheme="minorEastAsia" w:cstheme="minorBidi"/>
          <w:sz w:val="22"/>
          <w:szCs w:val="22"/>
        </w:rPr>
        <w:t>.</w:t>
      </w:r>
    </w:p>
    <w:p w14:paraId="7B572130" w14:textId="1990DA4F" w:rsidR="0085110D" w:rsidRPr="00A65E2A" w:rsidRDefault="0085110D" w:rsidP="00BD62FB">
      <w:pPr>
        <w:spacing w:after="160" w:line="240" w:lineRule="auto"/>
        <w:rPr>
          <w:rFonts w:eastAsiaTheme="minorEastAsia" w:cstheme="minorHAnsi"/>
          <w:sz w:val="22"/>
          <w:szCs w:val="22"/>
        </w:rPr>
      </w:pPr>
      <w:r w:rsidRPr="00A65E2A">
        <w:rPr>
          <w:rFonts w:eastAsiaTheme="minorEastAsia" w:cstheme="minorHAnsi"/>
          <w:sz w:val="22"/>
          <w:szCs w:val="22"/>
        </w:rPr>
        <w:t>The RRRG will prepare a submission for CAP’s consideration and endorsement. Once approved, the CAP will submit the letter directly to the AER as a standalone submission related to ElectraNet’s revenue proposal not as an attachment to ElectraNet’s own submission.</w:t>
      </w:r>
      <w:r w:rsidR="00E71151" w:rsidRPr="00A65E2A">
        <w:rPr>
          <w:rFonts w:eastAsiaTheme="minorEastAsia" w:cstheme="minorHAnsi"/>
          <w:sz w:val="22"/>
          <w:szCs w:val="22"/>
        </w:rPr>
        <w:t xml:space="preserve"> </w:t>
      </w:r>
      <w:r w:rsidRPr="00A65E2A">
        <w:rPr>
          <w:rFonts w:eastAsiaTheme="minorEastAsia" w:cstheme="minorHAnsi"/>
          <w:sz w:val="22"/>
          <w:szCs w:val="22"/>
        </w:rPr>
        <w:t>The process will be as follows:</w:t>
      </w:r>
    </w:p>
    <w:p w14:paraId="58A1159D" w14:textId="77777777" w:rsidR="0085110D" w:rsidRPr="00A65E2A" w:rsidRDefault="0085110D" w:rsidP="006915F8">
      <w:pPr>
        <w:numPr>
          <w:ilvl w:val="0"/>
          <w:numId w:val="19"/>
        </w:numPr>
        <w:spacing w:after="160" w:line="240" w:lineRule="auto"/>
        <w:ind w:left="714" w:hanging="357"/>
        <w:rPr>
          <w:rFonts w:eastAsiaTheme="minorEastAsia" w:cstheme="minorHAnsi"/>
          <w:sz w:val="22"/>
          <w:szCs w:val="22"/>
        </w:rPr>
      </w:pPr>
      <w:r w:rsidRPr="00A65E2A">
        <w:rPr>
          <w:rFonts w:eastAsiaTheme="minorEastAsia" w:cstheme="minorHAnsi"/>
          <w:sz w:val="22"/>
          <w:szCs w:val="22"/>
        </w:rPr>
        <w:t>RRRG drafts the submission and presents it to the CAP.</w:t>
      </w:r>
    </w:p>
    <w:p w14:paraId="36C70685" w14:textId="77777777" w:rsidR="0085110D" w:rsidRPr="00A65E2A" w:rsidRDefault="0085110D" w:rsidP="00BD62FB">
      <w:pPr>
        <w:numPr>
          <w:ilvl w:val="0"/>
          <w:numId w:val="19"/>
        </w:numPr>
        <w:spacing w:after="160" w:line="240" w:lineRule="auto"/>
        <w:rPr>
          <w:rFonts w:eastAsiaTheme="minorEastAsia" w:cstheme="minorHAnsi"/>
          <w:sz w:val="22"/>
          <w:szCs w:val="22"/>
        </w:rPr>
      </w:pPr>
      <w:r w:rsidRPr="00A65E2A">
        <w:rPr>
          <w:rFonts w:eastAsiaTheme="minorEastAsia" w:cstheme="minorHAnsi"/>
          <w:sz w:val="22"/>
          <w:szCs w:val="22"/>
        </w:rPr>
        <w:t>CAP reviews and endorses the submission.</w:t>
      </w:r>
    </w:p>
    <w:p w14:paraId="0C51F808" w14:textId="77777777" w:rsidR="0085110D" w:rsidRPr="00A65E2A" w:rsidRDefault="0085110D" w:rsidP="00BD62FB">
      <w:pPr>
        <w:numPr>
          <w:ilvl w:val="0"/>
          <w:numId w:val="19"/>
        </w:numPr>
        <w:spacing w:after="160" w:line="240" w:lineRule="auto"/>
        <w:rPr>
          <w:rFonts w:eastAsiaTheme="minorEastAsia" w:cstheme="minorHAnsi"/>
          <w:sz w:val="22"/>
          <w:szCs w:val="22"/>
        </w:rPr>
      </w:pPr>
      <w:r w:rsidRPr="00A65E2A">
        <w:rPr>
          <w:rFonts w:eastAsiaTheme="minorEastAsia" w:cstheme="minorBidi"/>
          <w:sz w:val="22"/>
          <w:szCs w:val="22"/>
        </w:rPr>
        <w:t>The endorsed submission is sent directly to the AER by the CAP.</w:t>
      </w:r>
    </w:p>
    <w:p w14:paraId="39A2B18C" w14:textId="42E1881A" w:rsidR="0085110D" w:rsidRPr="00A65E2A" w:rsidRDefault="0085110D" w:rsidP="00BD62FB">
      <w:pPr>
        <w:spacing w:after="160" w:line="240" w:lineRule="auto"/>
        <w:rPr>
          <w:rFonts w:eastAsiaTheme="minorEastAsia" w:cstheme="minorHAnsi"/>
          <w:sz w:val="22"/>
          <w:szCs w:val="22"/>
        </w:rPr>
      </w:pPr>
      <w:r w:rsidRPr="00A65E2A">
        <w:rPr>
          <w:rFonts w:eastAsiaTheme="minorEastAsia" w:cstheme="minorHAnsi"/>
          <w:sz w:val="22"/>
          <w:szCs w:val="22"/>
        </w:rPr>
        <w:t>The submission must be lodged by </w:t>
      </w:r>
      <w:r w:rsidRPr="00A65E2A">
        <w:rPr>
          <w:rFonts w:eastAsiaTheme="minorEastAsia" w:cstheme="minorHAnsi"/>
          <w:b/>
          <w:bCs/>
          <w:sz w:val="22"/>
          <w:szCs w:val="22"/>
        </w:rPr>
        <w:t>31 January 202</w:t>
      </w:r>
      <w:r w:rsidR="00C0602E" w:rsidRPr="00A65E2A">
        <w:rPr>
          <w:rFonts w:eastAsiaTheme="minorEastAsia" w:cstheme="minorHAnsi"/>
          <w:b/>
          <w:bCs/>
          <w:sz w:val="22"/>
          <w:szCs w:val="22"/>
        </w:rPr>
        <w:t>7</w:t>
      </w:r>
      <w:r w:rsidR="00557413" w:rsidRPr="00A65E2A">
        <w:rPr>
          <w:rFonts w:eastAsiaTheme="minorEastAsia" w:cstheme="minorHAnsi"/>
          <w:b/>
          <w:bCs/>
          <w:sz w:val="22"/>
          <w:szCs w:val="22"/>
        </w:rPr>
        <w:t xml:space="preserve"> </w:t>
      </w:r>
      <w:r w:rsidR="00557413" w:rsidRPr="006915F8">
        <w:rPr>
          <w:rFonts w:eastAsiaTheme="minorEastAsia" w:cstheme="minorHAnsi"/>
          <w:sz w:val="22"/>
          <w:szCs w:val="22"/>
        </w:rPr>
        <w:t>when the Revenue Proposal is due</w:t>
      </w:r>
      <w:r w:rsidRPr="00A65E2A">
        <w:rPr>
          <w:rFonts w:eastAsiaTheme="minorEastAsia" w:cstheme="minorHAnsi"/>
          <w:sz w:val="22"/>
          <w:szCs w:val="22"/>
        </w:rPr>
        <w:t>.</w:t>
      </w:r>
    </w:p>
    <w:p w14:paraId="425D7BB5" w14:textId="293652C5" w:rsidR="00860478" w:rsidRPr="00FB4062" w:rsidRDefault="00860478" w:rsidP="00667FD5">
      <w:pPr>
        <w:pStyle w:val="Heading2Numbered"/>
        <w:numPr>
          <w:ilvl w:val="0"/>
          <w:numId w:val="18"/>
        </w:numPr>
        <w:rPr>
          <w:rFonts w:asciiTheme="minorHAnsi" w:eastAsiaTheme="minorEastAsia" w:hAnsiTheme="minorHAnsi" w:cstheme="minorHAnsi"/>
          <w:b/>
          <w:bCs/>
          <w:sz w:val="21"/>
          <w:szCs w:val="21"/>
        </w:rPr>
      </w:pPr>
      <w:r w:rsidRPr="00FB4062">
        <w:rPr>
          <w:rFonts w:asciiTheme="minorHAnsi" w:hAnsiTheme="minorHAnsi" w:cstheme="minorHAnsi"/>
          <w:b/>
          <w:bCs/>
        </w:rPr>
        <w:t>General Updates</w:t>
      </w:r>
    </w:p>
    <w:p w14:paraId="5D542684" w14:textId="77777777" w:rsidR="00F00CED" w:rsidRPr="00F00CED" w:rsidRDefault="00F00CED" w:rsidP="00E73962">
      <w:pPr>
        <w:spacing w:after="160" w:line="240" w:lineRule="auto"/>
        <w:rPr>
          <w:rFonts w:eastAsiaTheme="minorEastAsia" w:cstheme="minorHAnsi"/>
          <w:b/>
          <w:bCs/>
          <w:sz w:val="22"/>
          <w:szCs w:val="22"/>
        </w:rPr>
      </w:pPr>
      <w:r w:rsidRPr="00F00CED">
        <w:rPr>
          <w:rFonts w:eastAsiaTheme="minorEastAsia" w:cstheme="minorHAnsi"/>
          <w:b/>
          <w:bCs/>
          <w:sz w:val="22"/>
          <w:szCs w:val="22"/>
        </w:rPr>
        <w:t xml:space="preserve">Rebecca Knol’s departure </w:t>
      </w:r>
    </w:p>
    <w:p w14:paraId="00568BF8" w14:textId="070C4AF9" w:rsidR="00F00CED" w:rsidRPr="00E73962" w:rsidRDefault="00F00CED" w:rsidP="00E73962">
      <w:pPr>
        <w:spacing w:after="160" w:line="240" w:lineRule="auto"/>
        <w:rPr>
          <w:rFonts w:eastAsiaTheme="minorEastAsia" w:cstheme="minorHAnsi"/>
          <w:sz w:val="22"/>
          <w:szCs w:val="22"/>
        </w:rPr>
      </w:pPr>
      <w:r w:rsidRPr="00E73962">
        <w:rPr>
          <w:rFonts w:eastAsiaTheme="minorEastAsia" w:cstheme="minorHAnsi"/>
          <w:sz w:val="22"/>
          <w:szCs w:val="22"/>
        </w:rPr>
        <w:t>The CAP acknowledged the departure of Rebecca Knol, who joined the CAP in January 2017. Rebecca’s significant contributions to the CAP were acknowledged. Rebecca noted that the CAP is currently in its strongest position, highlighting the positive collaboration and leadership from ElectraNet staff, the independent facilitator and the CAP members. Members expressed their appreciation for her long-standing commitment and thoughtful contributions.</w:t>
      </w:r>
    </w:p>
    <w:p w14:paraId="428109E1" w14:textId="65E284E8" w:rsidR="00C54F95" w:rsidRPr="00E73962" w:rsidRDefault="00C54F95" w:rsidP="00E73962">
      <w:pPr>
        <w:spacing w:after="160" w:line="240" w:lineRule="auto"/>
        <w:rPr>
          <w:rFonts w:eastAsiaTheme="minorEastAsia" w:cstheme="minorHAnsi"/>
          <w:b/>
          <w:bCs/>
          <w:sz w:val="22"/>
          <w:szCs w:val="22"/>
        </w:rPr>
      </w:pPr>
      <w:r w:rsidRPr="00E73962">
        <w:rPr>
          <w:rFonts w:eastAsiaTheme="minorEastAsia" w:cstheme="minorHAnsi"/>
          <w:b/>
          <w:bCs/>
          <w:sz w:val="22"/>
          <w:szCs w:val="22"/>
        </w:rPr>
        <w:t>ElectraNet Board Letter</w:t>
      </w:r>
    </w:p>
    <w:p w14:paraId="51EF3312" w14:textId="549E65FB" w:rsidR="00F5458B" w:rsidRPr="00E73962" w:rsidRDefault="00766AF5" w:rsidP="00E73962">
      <w:pPr>
        <w:spacing w:after="160" w:line="240" w:lineRule="auto"/>
        <w:rPr>
          <w:rFonts w:eastAsiaTheme="minorEastAsia" w:cstheme="minorBidi"/>
          <w:sz w:val="22"/>
          <w:szCs w:val="22"/>
        </w:rPr>
      </w:pPr>
      <w:r w:rsidRPr="00E73962">
        <w:rPr>
          <w:rFonts w:eastAsiaTheme="minorEastAsia" w:cstheme="minorBidi"/>
          <w:sz w:val="22"/>
          <w:szCs w:val="22"/>
        </w:rPr>
        <w:t xml:space="preserve">Leanne shared </w:t>
      </w:r>
      <w:r w:rsidR="49584D08" w:rsidRPr="00E73962">
        <w:rPr>
          <w:rFonts w:eastAsiaTheme="minorEastAsia" w:cstheme="minorBidi"/>
          <w:sz w:val="22"/>
          <w:szCs w:val="22"/>
        </w:rPr>
        <w:t>the</w:t>
      </w:r>
      <w:r w:rsidRPr="00E73962">
        <w:rPr>
          <w:rFonts w:eastAsiaTheme="minorEastAsia" w:cstheme="minorBidi"/>
          <w:sz w:val="22"/>
          <w:szCs w:val="22"/>
        </w:rPr>
        <w:t xml:space="preserve"> letter from </w:t>
      </w:r>
      <w:r w:rsidR="00C0602E" w:rsidRPr="00E73962">
        <w:rPr>
          <w:rFonts w:eastAsiaTheme="minorEastAsia" w:cstheme="minorBidi"/>
          <w:sz w:val="22"/>
          <w:szCs w:val="22"/>
        </w:rPr>
        <w:t xml:space="preserve">ElectraNet </w:t>
      </w:r>
      <w:r w:rsidRPr="00E73962">
        <w:rPr>
          <w:rFonts w:eastAsiaTheme="minorEastAsia" w:cstheme="minorBidi"/>
          <w:sz w:val="22"/>
          <w:szCs w:val="22"/>
        </w:rPr>
        <w:t>Chair Julie Beeby</w:t>
      </w:r>
      <w:r w:rsidR="003A3303" w:rsidRPr="00E73962">
        <w:rPr>
          <w:rFonts w:eastAsiaTheme="minorEastAsia" w:cstheme="minorBidi"/>
          <w:sz w:val="22"/>
          <w:szCs w:val="22"/>
        </w:rPr>
        <w:t xml:space="preserve"> dated 11 August</w:t>
      </w:r>
      <w:r w:rsidR="00C0602E" w:rsidRPr="00E73962">
        <w:rPr>
          <w:rFonts w:eastAsiaTheme="minorEastAsia" w:cstheme="minorBidi"/>
          <w:sz w:val="22"/>
          <w:szCs w:val="22"/>
        </w:rPr>
        <w:t xml:space="preserve"> 2025</w:t>
      </w:r>
      <w:r w:rsidRPr="00E73962">
        <w:rPr>
          <w:rFonts w:eastAsiaTheme="minorEastAsia" w:cstheme="minorBidi"/>
          <w:sz w:val="22"/>
          <w:szCs w:val="22"/>
        </w:rPr>
        <w:t xml:space="preserve">, written in response to the CAP meeting held on 15 May 2025. The letter acknowledged the valuable contributions of CAP members and </w:t>
      </w:r>
      <w:r w:rsidR="00F00CED" w:rsidRPr="00E73962">
        <w:rPr>
          <w:rFonts w:eastAsiaTheme="minorEastAsia" w:cstheme="minorBidi"/>
          <w:sz w:val="22"/>
          <w:szCs w:val="22"/>
        </w:rPr>
        <w:t xml:space="preserve">referenced </w:t>
      </w:r>
      <w:r w:rsidRPr="00E73962">
        <w:rPr>
          <w:rFonts w:eastAsiaTheme="minorEastAsia" w:cstheme="minorBidi"/>
          <w:sz w:val="22"/>
          <w:szCs w:val="22"/>
        </w:rPr>
        <w:t xml:space="preserve">key topics discussed during the </w:t>
      </w:r>
      <w:r w:rsidR="00F00CED" w:rsidRPr="00E73962">
        <w:rPr>
          <w:rFonts w:eastAsiaTheme="minorEastAsia" w:cstheme="minorBidi"/>
          <w:sz w:val="22"/>
          <w:szCs w:val="22"/>
        </w:rPr>
        <w:t xml:space="preserve">May </w:t>
      </w:r>
      <w:r w:rsidRPr="00E73962">
        <w:rPr>
          <w:rFonts w:eastAsiaTheme="minorEastAsia" w:cstheme="minorBidi"/>
          <w:sz w:val="22"/>
          <w:szCs w:val="22"/>
        </w:rPr>
        <w:t xml:space="preserve">meeting, including the Yorke Peninsula outage, the Northern Transmission Project, the Innovate Reconciliation Action Plan, and the work of the Reference Groups. Notably, the Board extended an invitation for CAP members to propose items for discussion at the upcoming Board meeting on 26 September 2025. </w:t>
      </w:r>
      <w:r w:rsidR="00F00CED" w:rsidRPr="00E73962">
        <w:rPr>
          <w:rFonts w:eastAsiaTheme="minorEastAsia" w:cstheme="minorBidi"/>
          <w:sz w:val="22"/>
          <w:szCs w:val="22"/>
        </w:rPr>
        <w:t>T</w:t>
      </w:r>
      <w:r w:rsidR="00260061" w:rsidRPr="00E73962">
        <w:rPr>
          <w:rFonts w:eastAsiaTheme="minorEastAsia" w:cstheme="minorBidi"/>
          <w:sz w:val="22"/>
          <w:szCs w:val="22"/>
        </w:rPr>
        <w:t>o</w:t>
      </w:r>
      <w:r w:rsidR="00F00CED" w:rsidRPr="00E73962">
        <w:rPr>
          <w:rFonts w:eastAsiaTheme="minorEastAsia" w:cstheme="minorBidi"/>
          <w:sz w:val="22"/>
          <w:szCs w:val="22"/>
        </w:rPr>
        <w:t xml:space="preserve"> meet the board paper timeframe, </w:t>
      </w:r>
      <w:r w:rsidR="00C0602E" w:rsidRPr="00E73962">
        <w:rPr>
          <w:rFonts w:eastAsiaTheme="minorEastAsia" w:cstheme="minorBidi"/>
          <w:sz w:val="22"/>
          <w:szCs w:val="22"/>
        </w:rPr>
        <w:t xml:space="preserve">Jeremy </w:t>
      </w:r>
      <w:r w:rsidR="00F00CED" w:rsidRPr="00E73962">
        <w:rPr>
          <w:rFonts w:eastAsiaTheme="minorEastAsia" w:cstheme="minorBidi"/>
          <w:sz w:val="22"/>
          <w:szCs w:val="22"/>
        </w:rPr>
        <w:t>advised this would need to be provide</w:t>
      </w:r>
      <w:r w:rsidR="003F7BF6">
        <w:rPr>
          <w:rFonts w:eastAsiaTheme="minorEastAsia" w:cstheme="minorBidi"/>
          <w:sz w:val="22"/>
          <w:szCs w:val="22"/>
        </w:rPr>
        <w:t>d</w:t>
      </w:r>
      <w:r w:rsidR="00F00CED" w:rsidRPr="00E73962">
        <w:rPr>
          <w:rFonts w:eastAsiaTheme="minorEastAsia" w:cstheme="minorBidi"/>
          <w:sz w:val="22"/>
          <w:szCs w:val="22"/>
        </w:rPr>
        <w:t xml:space="preserve"> </w:t>
      </w:r>
      <w:r w:rsidR="003F7BF6">
        <w:rPr>
          <w:rFonts w:eastAsiaTheme="minorEastAsia" w:cstheme="minorBidi"/>
          <w:sz w:val="22"/>
          <w:szCs w:val="22"/>
        </w:rPr>
        <w:t xml:space="preserve">by </w:t>
      </w:r>
      <w:r w:rsidR="00C0602E" w:rsidRPr="00E73962">
        <w:rPr>
          <w:rFonts w:eastAsiaTheme="minorEastAsia" w:cstheme="minorBidi"/>
          <w:sz w:val="22"/>
          <w:szCs w:val="22"/>
        </w:rPr>
        <w:t>27 August 2025</w:t>
      </w:r>
      <w:r w:rsidR="0035617A">
        <w:rPr>
          <w:rFonts w:eastAsiaTheme="minorEastAsia" w:cstheme="minorBidi"/>
          <w:sz w:val="22"/>
          <w:szCs w:val="22"/>
        </w:rPr>
        <w:t>.</w:t>
      </w:r>
      <w:r w:rsidR="00C0602E" w:rsidRPr="00E73962">
        <w:rPr>
          <w:rFonts w:eastAsiaTheme="minorEastAsia" w:cstheme="minorBidi"/>
          <w:sz w:val="22"/>
          <w:szCs w:val="22"/>
        </w:rPr>
        <w:t xml:space="preserve"> </w:t>
      </w:r>
      <w:r w:rsidR="00F00CED" w:rsidRPr="1A31C004">
        <w:rPr>
          <w:rFonts w:eastAsiaTheme="minorEastAsia" w:cstheme="minorBidi"/>
          <w:sz w:val="22"/>
          <w:szCs w:val="22"/>
        </w:rPr>
        <w:t>T</w:t>
      </w:r>
      <w:r w:rsidR="00260061" w:rsidRPr="1A31C004">
        <w:rPr>
          <w:rFonts w:eastAsiaTheme="minorEastAsia" w:cstheme="minorBidi"/>
          <w:sz w:val="22"/>
          <w:szCs w:val="22"/>
        </w:rPr>
        <w:t>o</w:t>
      </w:r>
      <w:r w:rsidR="00F00CED" w:rsidRPr="1A31C004">
        <w:rPr>
          <w:rFonts w:eastAsiaTheme="minorEastAsia" w:cstheme="minorBidi"/>
          <w:sz w:val="22"/>
          <w:szCs w:val="22"/>
        </w:rPr>
        <w:t xml:space="preserve"> meet the board paper timeframe, </w:t>
      </w:r>
      <w:r w:rsidR="00C0602E" w:rsidRPr="1A31C004">
        <w:rPr>
          <w:rFonts w:eastAsiaTheme="minorEastAsia" w:cstheme="minorBidi"/>
          <w:sz w:val="22"/>
          <w:szCs w:val="22"/>
        </w:rPr>
        <w:t xml:space="preserve">Jeremy </w:t>
      </w:r>
      <w:r w:rsidR="00F00CED" w:rsidRPr="1A31C004">
        <w:rPr>
          <w:rFonts w:eastAsiaTheme="minorEastAsia" w:cstheme="minorBidi"/>
          <w:sz w:val="22"/>
          <w:szCs w:val="22"/>
        </w:rPr>
        <w:t>advised this would need to be provide</w:t>
      </w:r>
      <w:r w:rsidR="003F7BF6" w:rsidRPr="1A31C004">
        <w:rPr>
          <w:rFonts w:eastAsiaTheme="minorEastAsia" w:cstheme="minorBidi"/>
          <w:sz w:val="22"/>
          <w:szCs w:val="22"/>
        </w:rPr>
        <w:t>d</w:t>
      </w:r>
      <w:r w:rsidR="00F00CED" w:rsidRPr="1A31C004">
        <w:rPr>
          <w:rFonts w:eastAsiaTheme="minorEastAsia" w:cstheme="minorBidi"/>
          <w:sz w:val="22"/>
          <w:szCs w:val="22"/>
        </w:rPr>
        <w:t xml:space="preserve"> </w:t>
      </w:r>
      <w:r w:rsidR="003F7BF6" w:rsidRPr="1A31C004">
        <w:rPr>
          <w:rFonts w:eastAsiaTheme="minorEastAsia" w:cstheme="minorBidi"/>
          <w:sz w:val="22"/>
          <w:szCs w:val="22"/>
        </w:rPr>
        <w:t xml:space="preserve">by </w:t>
      </w:r>
      <w:r w:rsidR="00C0602E" w:rsidRPr="1A31C004">
        <w:rPr>
          <w:rFonts w:eastAsiaTheme="minorEastAsia" w:cstheme="minorBidi"/>
          <w:sz w:val="22"/>
          <w:szCs w:val="22"/>
        </w:rPr>
        <w:t>27 August 2025</w:t>
      </w:r>
      <w:r w:rsidR="0035617A" w:rsidRPr="1A31C004">
        <w:rPr>
          <w:rFonts w:eastAsiaTheme="minorEastAsia" w:cstheme="minorBidi"/>
          <w:sz w:val="22"/>
          <w:szCs w:val="22"/>
        </w:rPr>
        <w:t>.</w:t>
      </w:r>
      <w:r w:rsidR="00C0602E" w:rsidRPr="1A31C004">
        <w:rPr>
          <w:rFonts w:eastAsiaTheme="minorEastAsia" w:cstheme="minorBidi"/>
          <w:sz w:val="22"/>
          <w:szCs w:val="22"/>
        </w:rPr>
        <w:t xml:space="preserve"> </w:t>
      </w:r>
    </w:p>
    <w:p w14:paraId="7A965C37" w14:textId="60D37073" w:rsidR="003D0104" w:rsidRPr="00123C26" w:rsidRDefault="003D0104" w:rsidP="00E73962">
      <w:pPr>
        <w:spacing w:after="160" w:line="240" w:lineRule="auto"/>
        <w:rPr>
          <w:rFonts w:eastAsiaTheme="minorEastAsia" w:cstheme="minorHAnsi"/>
          <w:b/>
          <w:bCs/>
          <w:sz w:val="22"/>
          <w:szCs w:val="22"/>
        </w:rPr>
      </w:pPr>
      <w:r w:rsidRPr="00123C26">
        <w:rPr>
          <w:rFonts w:eastAsiaTheme="minorEastAsia" w:cstheme="minorHAnsi"/>
          <w:b/>
          <w:bCs/>
          <w:sz w:val="22"/>
          <w:szCs w:val="22"/>
        </w:rPr>
        <w:t xml:space="preserve">ACTION: </w:t>
      </w:r>
      <w:r w:rsidR="007277D9" w:rsidRPr="007277D9">
        <w:rPr>
          <w:rFonts w:eastAsiaTheme="minorEastAsia" w:cstheme="minorHAnsi"/>
          <w:b/>
          <w:bCs/>
          <w:sz w:val="22"/>
          <w:szCs w:val="22"/>
        </w:rPr>
        <w:t>Leanne to lead discussion on CAP’s suggested items for the ElectraNet Board meeting and provide the consolidated list to Alycia and Jeremy by COB 27 August 2025.</w:t>
      </w:r>
    </w:p>
    <w:p w14:paraId="54199E31" w14:textId="6F52B902" w:rsidR="00A52372" w:rsidRPr="00AE2D1F" w:rsidRDefault="00A52372" w:rsidP="00E73962">
      <w:pPr>
        <w:spacing w:after="160" w:line="240" w:lineRule="auto"/>
        <w:rPr>
          <w:rFonts w:cstheme="minorHAnsi"/>
          <w:b/>
          <w:bCs/>
          <w:color w:val="000000" w:themeColor="text1"/>
          <w:sz w:val="22"/>
          <w:szCs w:val="22"/>
          <w:shd w:val="clear" w:color="auto" w:fill="FAFAFA"/>
        </w:rPr>
      </w:pPr>
      <w:r w:rsidRPr="00AE2D1F">
        <w:rPr>
          <w:rFonts w:cstheme="minorHAnsi"/>
          <w:b/>
          <w:bCs/>
          <w:color w:val="000000" w:themeColor="text1"/>
          <w:sz w:val="22"/>
          <w:szCs w:val="22"/>
          <w:shd w:val="clear" w:color="auto" w:fill="FAFAFA"/>
        </w:rPr>
        <w:t xml:space="preserve">Substation site visit </w:t>
      </w:r>
    </w:p>
    <w:p w14:paraId="2A1CCC7E" w14:textId="77777777" w:rsidR="00A90F2E" w:rsidRPr="00E73962" w:rsidRDefault="005D4D9E" w:rsidP="00E73962">
      <w:pPr>
        <w:spacing w:after="160" w:line="240" w:lineRule="auto"/>
        <w:rPr>
          <w:rFonts w:cstheme="minorHAnsi"/>
          <w:color w:val="000000" w:themeColor="text1"/>
          <w:sz w:val="22"/>
          <w:szCs w:val="22"/>
          <w:shd w:val="clear" w:color="auto" w:fill="FAFAFA"/>
        </w:rPr>
      </w:pPr>
      <w:r w:rsidRPr="00E73962">
        <w:rPr>
          <w:rFonts w:cstheme="minorHAnsi"/>
          <w:color w:val="000000" w:themeColor="text1"/>
          <w:sz w:val="22"/>
          <w:szCs w:val="22"/>
          <w:shd w:val="clear" w:color="auto" w:fill="FAFAFA"/>
        </w:rPr>
        <w:t xml:space="preserve">An action item from the recent Revenue Reset Reference Group (RRRG) meeting identified an opportunity for all CAP members to participate in a substation site visit. </w:t>
      </w:r>
    </w:p>
    <w:p w14:paraId="72501C1C" w14:textId="6175C487" w:rsidR="005D4D9E" w:rsidRPr="00E73962" w:rsidRDefault="005D4D9E" w:rsidP="00E73962">
      <w:pPr>
        <w:spacing w:after="160" w:line="240" w:lineRule="auto"/>
        <w:rPr>
          <w:rFonts w:cstheme="minorHAnsi"/>
          <w:color w:val="000000" w:themeColor="text1"/>
          <w:sz w:val="22"/>
          <w:szCs w:val="22"/>
          <w:shd w:val="clear" w:color="auto" w:fill="FAFAFA"/>
        </w:rPr>
      </w:pPr>
      <w:r w:rsidRPr="00E73962">
        <w:rPr>
          <w:rFonts w:cstheme="minorHAnsi"/>
          <w:color w:val="000000" w:themeColor="text1"/>
          <w:sz w:val="22"/>
          <w:szCs w:val="22"/>
          <w:shd w:val="clear" w:color="auto" w:fill="FAFAFA"/>
        </w:rPr>
        <w:t xml:space="preserve">The Para Substation was selected due to its </w:t>
      </w:r>
      <w:proofErr w:type="gramStart"/>
      <w:r w:rsidRPr="00E73962">
        <w:rPr>
          <w:rFonts w:cstheme="minorHAnsi"/>
          <w:color w:val="000000" w:themeColor="text1"/>
          <w:sz w:val="22"/>
          <w:szCs w:val="22"/>
          <w:shd w:val="clear" w:color="auto" w:fill="FAFAFA"/>
        </w:rPr>
        <w:t>proximity</w:t>
      </w:r>
      <w:proofErr w:type="gramEnd"/>
      <w:r w:rsidR="00A41E6C" w:rsidRPr="00E73962">
        <w:rPr>
          <w:rFonts w:cstheme="minorHAnsi"/>
          <w:color w:val="000000" w:themeColor="text1"/>
          <w:sz w:val="22"/>
          <w:szCs w:val="22"/>
          <w:shd w:val="clear" w:color="auto" w:fill="FAFAFA"/>
        </w:rPr>
        <w:t xml:space="preserve"> and the</w:t>
      </w:r>
      <w:r w:rsidRPr="00E73962">
        <w:rPr>
          <w:rFonts w:cstheme="minorHAnsi"/>
          <w:color w:val="000000" w:themeColor="text1"/>
          <w:sz w:val="22"/>
          <w:szCs w:val="22"/>
          <w:shd w:val="clear" w:color="auto" w:fill="FAFAFA"/>
        </w:rPr>
        <w:t xml:space="preserve"> visit aims to give members a clearer understanding of ElectraNet’s assets and how they relate to the challenges outlined in the Revenue Reset submission. A range of potential dates has been proposed, with a follow-up email to confirm attendance. The visit is planned for September.</w:t>
      </w:r>
    </w:p>
    <w:p w14:paraId="57ABD835" w14:textId="295E51EF" w:rsidR="003D0104" w:rsidRPr="00123C26" w:rsidRDefault="003D0104" w:rsidP="00E73962">
      <w:pPr>
        <w:spacing w:after="160" w:line="240" w:lineRule="auto"/>
        <w:rPr>
          <w:rFonts w:cstheme="minorHAnsi"/>
          <w:b/>
          <w:bCs/>
          <w:sz w:val="22"/>
          <w:szCs w:val="22"/>
        </w:rPr>
      </w:pPr>
      <w:r w:rsidRPr="00123C26">
        <w:rPr>
          <w:rFonts w:cstheme="minorHAnsi"/>
          <w:b/>
          <w:bCs/>
          <w:sz w:val="22"/>
          <w:szCs w:val="22"/>
        </w:rPr>
        <w:t xml:space="preserve">ACTION: </w:t>
      </w:r>
      <w:r w:rsidR="00260061">
        <w:rPr>
          <w:rFonts w:cstheme="minorHAnsi"/>
          <w:b/>
          <w:bCs/>
          <w:sz w:val="22"/>
          <w:szCs w:val="22"/>
        </w:rPr>
        <w:t xml:space="preserve">Alycia </w:t>
      </w:r>
      <w:r w:rsidRPr="00123C26">
        <w:rPr>
          <w:rFonts w:cstheme="minorHAnsi"/>
          <w:b/>
          <w:bCs/>
          <w:sz w:val="22"/>
          <w:szCs w:val="22"/>
        </w:rPr>
        <w:t xml:space="preserve">to coordinate with CAP members to confirm the site </w:t>
      </w:r>
      <w:r w:rsidR="00BC41EF" w:rsidRPr="00123C26">
        <w:rPr>
          <w:rFonts w:cstheme="minorHAnsi"/>
          <w:b/>
          <w:bCs/>
          <w:sz w:val="22"/>
          <w:szCs w:val="22"/>
        </w:rPr>
        <w:t>visit and</w:t>
      </w:r>
      <w:r w:rsidRPr="00123C26">
        <w:rPr>
          <w:rFonts w:cstheme="minorHAnsi"/>
          <w:b/>
          <w:bCs/>
          <w:sz w:val="22"/>
          <w:szCs w:val="22"/>
        </w:rPr>
        <w:t xml:space="preserve"> </w:t>
      </w:r>
      <w:proofErr w:type="gramStart"/>
      <w:r w:rsidR="00260061">
        <w:rPr>
          <w:rFonts w:cstheme="minorHAnsi"/>
          <w:b/>
          <w:bCs/>
          <w:sz w:val="22"/>
          <w:szCs w:val="22"/>
        </w:rPr>
        <w:t>coordinate  logistics</w:t>
      </w:r>
      <w:proofErr w:type="gramEnd"/>
      <w:r w:rsidR="00260061">
        <w:rPr>
          <w:rFonts w:cstheme="minorHAnsi"/>
          <w:b/>
          <w:bCs/>
          <w:sz w:val="22"/>
          <w:szCs w:val="22"/>
        </w:rPr>
        <w:t xml:space="preserve"> </w:t>
      </w:r>
      <w:r w:rsidR="009F5757">
        <w:rPr>
          <w:rFonts w:cstheme="minorHAnsi"/>
          <w:b/>
          <w:bCs/>
          <w:sz w:val="22"/>
          <w:szCs w:val="22"/>
        </w:rPr>
        <w:t xml:space="preserve">including </w:t>
      </w:r>
      <w:r w:rsidR="009F5757" w:rsidRPr="00123C26">
        <w:rPr>
          <w:rFonts w:cstheme="minorHAnsi"/>
          <w:b/>
          <w:bCs/>
          <w:sz w:val="22"/>
          <w:szCs w:val="22"/>
        </w:rPr>
        <w:t>PPE</w:t>
      </w:r>
      <w:r w:rsidRPr="00123C26">
        <w:rPr>
          <w:rFonts w:cstheme="minorHAnsi"/>
          <w:b/>
          <w:bCs/>
          <w:sz w:val="22"/>
          <w:szCs w:val="22"/>
        </w:rPr>
        <w:t xml:space="preserve"> requirements.</w:t>
      </w:r>
    </w:p>
    <w:p w14:paraId="0CDBD886" w14:textId="7EBE90E0" w:rsidR="005933D7" w:rsidRPr="00FB4062" w:rsidRDefault="004221C1" w:rsidP="00667FD5">
      <w:pPr>
        <w:pStyle w:val="Heading2Numbered"/>
        <w:numPr>
          <w:ilvl w:val="0"/>
          <w:numId w:val="18"/>
        </w:numPr>
        <w:ind w:left="340" w:hanging="340"/>
        <w:rPr>
          <w:rFonts w:asciiTheme="minorHAnsi" w:eastAsiaTheme="minorEastAsia" w:hAnsiTheme="minorHAnsi" w:cstheme="minorHAnsi"/>
          <w:b/>
          <w:bCs/>
          <w:sz w:val="21"/>
          <w:szCs w:val="21"/>
        </w:rPr>
      </w:pPr>
      <w:r w:rsidRPr="00FB4062">
        <w:rPr>
          <w:rFonts w:asciiTheme="minorHAnsi" w:hAnsiTheme="minorHAnsi" w:cstheme="minorHAnsi"/>
          <w:b/>
          <w:bCs/>
        </w:rPr>
        <w:t>CAP Hot Topics</w:t>
      </w:r>
    </w:p>
    <w:p w14:paraId="690E4074" w14:textId="7F2C976D" w:rsidR="005933D7" w:rsidRPr="00300286" w:rsidRDefault="005933D7" w:rsidP="00300286">
      <w:pPr>
        <w:spacing w:after="160" w:line="240" w:lineRule="auto"/>
        <w:rPr>
          <w:rFonts w:cstheme="minorBidi"/>
          <w:sz w:val="22"/>
          <w:szCs w:val="22"/>
        </w:rPr>
      </w:pPr>
      <w:r w:rsidRPr="1A31C004">
        <w:rPr>
          <w:rFonts w:cstheme="minorBidi"/>
          <w:b/>
          <w:bCs/>
          <w:sz w:val="22"/>
          <w:szCs w:val="22"/>
        </w:rPr>
        <w:t>Cathi Buttfield</w:t>
      </w:r>
      <w:r w:rsidR="00B241CF" w:rsidRPr="1A31C004">
        <w:rPr>
          <w:rFonts w:cstheme="minorBidi"/>
          <w:sz w:val="22"/>
          <w:szCs w:val="22"/>
        </w:rPr>
        <w:t xml:space="preserve"> </w:t>
      </w:r>
      <w:r w:rsidR="009F5757" w:rsidRPr="1A31C004">
        <w:rPr>
          <w:rFonts w:cstheme="minorBidi"/>
          <w:sz w:val="22"/>
          <w:szCs w:val="22"/>
        </w:rPr>
        <w:t>- Chamber of Business are working on pre-election charter that outline</w:t>
      </w:r>
      <w:r w:rsidR="00A345DC" w:rsidRPr="1A31C004">
        <w:rPr>
          <w:rFonts w:cstheme="minorBidi"/>
          <w:sz w:val="22"/>
          <w:szCs w:val="22"/>
        </w:rPr>
        <w:t>s</w:t>
      </w:r>
      <w:r w:rsidR="009F5757" w:rsidRPr="1A31C004">
        <w:rPr>
          <w:rFonts w:cstheme="minorBidi"/>
          <w:sz w:val="22"/>
          <w:szCs w:val="22"/>
        </w:rPr>
        <w:t xml:space="preserve"> key policy priorities or commitments ahead of an election and keen t</w:t>
      </w:r>
      <w:r w:rsidR="00C87D15" w:rsidRPr="1A31C004">
        <w:rPr>
          <w:rFonts w:cstheme="minorBidi"/>
          <w:sz w:val="22"/>
          <w:szCs w:val="22"/>
        </w:rPr>
        <w:t>o consider</w:t>
      </w:r>
      <w:r w:rsidR="009F5757" w:rsidRPr="1A31C004">
        <w:rPr>
          <w:rFonts w:cstheme="minorBidi"/>
          <w:sz w:val="22"/>
          <w:szCs w:val="22"/>
        </w:rPr>
        <w:t xml:space="preserve"> anyenergy-related topics.</w:t>
      </w:r>
    </w:p>
    <w:p w14:paraId="62CB8FAF" w14:textId="77777777" w:rsidR="005933D7" w:rsidRPr="00300286" w:rsidRDefault="005933D7" w:rsidP="00300286">
      <w:pPr>
        <w:spacing w:after="160" w:line="240" w:lineRule="auto"/>
        <w:rPr>
          <w:rFonts w:cstheme="minorHAnsi"/>
          <w:sz w:val="22"/>
          <w:szCs w:val="22"/>
        </w:rPr>
      </w:pPr>
      <w:r w:rsidRPr="00300286">
        <w:rPr>
          <w:rFonts w:cstheme="minorHAnsi"/>
          <w:sz w:val="22"/>
          <w:szCs w:val="22"/>
        </w:rPr>
        <w:t>Key outcomes from the Australian Government’s Economic Reform Roundtable in Canberra were also highlighted as a topic of interest.</w:t>
      </w:r>
    </w:p>
    <w:p w14:paraId="58E25DE1" w14:textId="0B5D86ED" w:rsidR="007D14E5" w:rsidRPr="00300286" w:rsidRDefault="007D14E5" w:rsidP="00300286">
      <w:pPr>
        <w:spacing w:after="160" w:line="240" w:lineRule="auto"/>
        <w:rPr>
          <w:rFonts w:cstheme="minorHAnsi"/>
          <w:sz w:val="22"/>
          <w:szCs w:val="22"/>
        </w:rPr>
      </w:pPr>
      <w:r w:rsidRPr="00300286">
        <w:rPr>
          <w:rFonts w:cstheme="minorHAnsi"/>
          <w:b/>
          <w:bCs/>
          <w:sz w:val="22"/>
          <w:szCs w:val="22"/>
        </w:rPr>
        <w:t>Georgie</w:t>
      </w:r>
      <w:r w:rsidR="00CC06DC" w:rsidRPr="00300286">
        <w:rPr>
          <w:rFonts w:cstheme="minorHAnsi"/>
          <w:b/>
          <w:bCs/>
          <w:sz w:val="22"/>
          <w:szCs w:val="22"/>
        </w:rPr>
        <w:t xml:space="preserve"> Morris</w:t>
      </w:r>
      <w:r w:rsidRPr="00300286">
        <w:rPr>
          <w:rFonts w:cstheme="minorHAnsi"/>
          <w:b/>
          <w:bCs/>
          <w:sz w:val="22"/>
          <w:szCs w:val="22"/>
        </w:rPr>
        <w:t xml:space="preserve"> </w:t>
      </w:r>
      <w:r w:rsidR="00E30381" w:rsidRPr="00E30381">
        <w:rPr>
          <w:rFonts w:cstheme="minorHAnsi"/>
          <w:sz w:val="22"/>
          <w:szCs w:val="22"/>
        </w:rPr>
        <w:t>-</w:t>
      </w:r>
      <w:r w:rsidRPr="00E30381">
        <w:rPr>
          <w:rFonts w:cstheme="minorHAnsi"/>
          <w:sz w:val="22"/>
          <w:szCs w:val="22"/>
        </w:rPr>
        <w:t xml:space="preserve"> </w:t>
      </w:r>
      <w:r w:rsidRPr="00300286">
        <w:rPr>
          <w:rFonts w:cstheme="minorHAnsi"/>
          <w:sz w:val="22"/>
          <w:szCs w:val="22"/>
        </w:rPr>
        <w:t>noted that the Electricity Statement of Opportunities (ESOO) was released today, highlighting a forecasted increase in electricity demand driven primarily by industrial growth, rather than residential consumption.</w:t>
      </w:r>
    </w:p>
    <w:p w14:paraId="06D18AD4" w14:textId="36A6B4CC" w:rsidR="008A2CDB" w:rsidRPr="00300286" w:rsidRDefault="008A2CDB" w:rsidP="00300286">
      <w:pPr>
        <w:spacing w:after="160" w:line="240" w:lineRule="auto"/>
        <w:rPr>
          <w:rFonts w:cstheme="minorHAnsi"/>
          <w:sz w:val="22"/>
          <w:szCs w:val="22"/>
        </w:rPr>
      </w:pPr>
      <w:r w:rsidRPr="00300286">
        <w:rPr>
          <w:rFonts w:cstheme="minorHAnsi"/>
          <w:b/>
          <w:bCs/>
          <w:sz w:val="22"/>
          <w:szCs w:val="22"/>
        </w:rPr>
        <w:t xml:space="preserve">Simon Maddocks </w:t>
      </w:r>
      <w:r w:rsidR="00E30381" w:rsidRPr="00E30381">
        <w:rPr>
          <w:rFonts w:cstheme="minorHAnsi"/>
          <w:sz w:val="22"/>
          <w:szCs w:val="22"/>
        </w:rPr>
        <w:t xml:space="preserve">- </w:t>
      </w:r>
      <w:r w:rsidRPr="00300286">
        <w:rPr>
          <w:rFonts w:cstheme="minorHAnsi"/>
          <w:sz w:val="22"/>
          <w:szCs w:val="22"/>
        </w:rPr>
        <w:t xml:space="preserve">raised the topic of </w:t>
      </w:r>
      <w:r w:rsidR="00C0602E" w:rsidRPr="00300286">
        <w:rPr>
          <w:rFonts w:cstheme="minorHAnsi"/>
          <w:sz w:val="22"/>
          <w:szCs w:val="22"/>
        </w:rPr>
        <w:t>The </w:t>
      </w:r>
      <w:r w:rsidRPr="00300286">
        <w:rPr>
          <w:rFonts w:cstheme="minorHAnsi"/>
          <w:sz w:val="22"/>
          <w:szCs w:val="22"/>
        </w:rPr>
        <w:t>Energy Charter, noting that while several transmission providers are formal signatories, ElectraNet currently participates as a corresponding member. Charter members report annually against an accountability framework focused on transparency and stakeholder engagement.</w:t>
      </w:r>
    </w:p>
    <w:p w14:paraId="2FC7A32F" w14:textId="54208E4D" w:rsidR="008A2CDB" w:rsidRPr="00300286" w:rsidRDefault="008A2CDB" w:rsidP="00300286">
      <w:pPr>
        <w:spacing w:after="160" w:line="240" w:lineRule="auto"/>
        <w:rPr>
          <w:rFonts w:cstheme="minorBidi"/>
          <w:sz w:val="22"/>
          <w:szCs w:val="22"/>
        </w:rPr>
      </w:pPr>
      <w:r w:rsidRPr="1A31C004">
        <w:rPr>
          <w:rFonts w:cstheme="minorBidi"/>
          <w:sz w:val="22"/>
          <w:szCs w:val="22"/>
        </w:rPr>
        <w:t>ElectraNet is not a formal signatory and does not currently report against the Charter’s KPIs</w:t>
      </w:r>
      <w:r w:rsidR="006C515A" w:rsidRPr="1A31C004">
        <w:rPr>
          <w:rFonts w:cstheme="minorBidi"/>
          <w:sz w:val="22"/>
          <w:szCs w:val="22"/>
        </w:rPr>
        <w:t>.</w:t>
      </w:r>
      <w:r w:rsidRPr="1A31C004">
        <w:rPr>
          <w:rFonts w:cstheme="minorBidi"/>
          <w:sz w:val="22"/>
          <w:szCs w:val="22"/>
        </w:rPr>
        <w:t xml:space="preserve"> it was acknowledged that many of the Charter’s principles</w:t>
      </w:r>
      <w:r w:rsidR="00C0602E" w:rsidRPr="1A31C004">
        <w:rPr>
          <w:rFonts w:cstheme="minorBidi"/>
          <w:sz w:val="22"/>
          <w:szCs w:val="22"/>
        </w:rPr>
        <w:t>,</w:t>
      </w:r>
      <w:r w:rsidR="009D526C" w:rsidRPr="1A31C004">
        <w:rPr>
          <w:rFonts w:cstheme="minorBidi"/>
          <w:sz w:val="22"/>
          <w:szCs w:val="22"/>
        </w:rPr>
        <w:t xml:space="preserve"> </w:t>
      </w:r>
      <w:r w:rsidRPr="1A31C004">
        <w:rPr>
          <w:rFonts w:cstheme="minorBidi"/>
          <w:sz w:val="22"/>
          <w:szCs w:val="22"/>
        </w:rPr>
        <w:t>particularly those related to community engagement</w:t>
      </w:r>
      <w:r w:rsidR="00C0602E" w:rsidRPr="1A31C004">
        <w:rPr>
          <w:rFonts w:cstheme="minorBidi"/>
          <w:sz w:val="22"/>
          <w:szCs w:val="22"/>
        </w:rPr>
        <w:t>,</w:t>
      </w:r>
      <w:r w:rsidR="009D526C" w:rsidRPr="1A31C004">
        <w:rPr>
          <w:rFonts w:cstheme="minorBidi"/>
          <w:sz w:val="22"/>
          <w:szCs w:val="22"/>
        </w:rPr>
        <w:t xml:space="preserve"> </w:t>
      </w:r>
      <w:r w:rsidRPr="1A31C004">
        <w:rPr>
          <w:rFonts w:cstheme="minorBidi"/>
          <w:sz w:val="22"/>
          <w:szCs w:val="22"/>
        </w:rPr>
        <w:t xml:space="preserve">are already reflected in ElectraNet’s existing practices. </w:t>
      </w:r>
    </w:p>
    <w:p w14:paraId="18CC1672" w14:textId="53F4D261" w:rsidR="008A2CDB" w:rsidRPr="00300286" w:rsidRDefault="008A2CDB" w:rsidP="00300286">
      <w:pPr>
        <w:spacing w:after="160" w:line="240" w:lineRule="auto"/>
        <w:rPr>
          <w:rFonts w:cstheme="minorHAnsi"/>
          <w:sz w:val="22"/>
          <w:szCs w:val="22"/>
        </w:rPr>
      </w:pPr>
      <w:r w:rsidRPr="00300286">
        <w:rPr>
          <w:rFonts w:cstheme="minorHAnsi"/>
          <w:sz w:val="22"/>
          <w:szCs w:val="22"/>
        </w:rPr>
        <w:t xml:space="preserve">The group </w:t>
      </w:r>
      <w:r w:rsidR="00C0602E" w:rsidRPr="00300286">
        <w:rPr>
          <w:rFonts w:cstheme="minorHAnsi"/>
          <w:sz w:val="22"/>
          <w:szCs w:val="22"/>
        </w:rPr>
        <w:t xml:space="preserve">suggested that ElectraNet </w:t>
      </w:r>
      <w:r w:rsidRPr="00300286">
        <w:rPr>
          <w:rFonts w:cstheme="minorHAnsi"/>
          <w:sz w:val="22"/>
          <w:szCs w:val="22"/>
        </w:rPr>
        <w:t>revisit whether voluntarily aligning with the Charter’s accountability framework could further demonstrate ElectraNet’s commitment to stakeholder engagement and transparency. This could be a useful step toward adopting a consistent and recognised approach, even without formal membership.</w:t>
      </w:r>
    </w:p>
    <w:p w14:paraId="6885DB1E" w14:textId="44A0B9B0" w:rsidR="008A2CDB" w:rsidRPr="00300286" w:rsidRDefault="004455EF" w:rsidP="00300286">
      <w:pPr>
        <w:spacing w:after="160" w:line="240" w:lineRule="auto"/>
        <w:rPr>
          <w:rFonts w:cstheme="minorBidi"/>
          <w:b/>
          <w:bCs/>
          <w:sz w:val="22"/>
          <w:szCs w:val="22"/>
        </w:rPr>
      </w:pPr>
      <w:r w:rsidRPr="1A31C004">
        <w:rPr>
          <w:rFonts w:cstheme="minorBidi"/>
          <w:b/>
          <w:bCs/>
          <w:sz w:val="22"/>
          <w:szCs w:val="22"/>
        </w:rPr>
        <w:t>ACTION:</w:t>
      </w:r>
      <w:r w:rsidR="008A2CDB" w:rsidRPr="1A31C004">
        <w:rPr>
          <w:rFonts w:cstheme="minorBidi"/>
          <w:b/>
          <w:bCs/>
          <w:sz w:val="22"/>
          <w:szCs w:val="22"/>
        </w:rPr>
        <w:t xml:space="preserve"> </w:t>
      </w:r>
      <w:r w:rsidR="00C0602E" w:rsidRPr="1A31C004">
        <w:rPr>
          <w:rFonts w:cstheme="minorBidi"/>
          <w:b/>
          <w:bCs/>
          <w:sz w:val="22"/>
          <w:szCs w:val="22"/>
        </w:rPr>
        <w:t>ElectraNet to reassess it</w:t>
      </w:r>
      <w:r w:rsidR="006C515A" w:rsidRPr="1A31C004">
        <w:rPr>
          <w:rFonts w:cstheme="minorBidi"/>
          <w:b/>
          <w:bCs/>
          <w:sz w:val="22"/>
          <w:szCs w:val="22"/>
        </w:rPr>
        <w:t>s</w:t>
      </w:r>
      <w:r w:rsidR="00C0602E" w:rsidRPr="1A31C004">
        <w:rPr>
          <w:rFonts w:cstheme="minorBidi"/>
          <w:b/>
          <w:bCs/>
          <w:sz w:val="22"/>
          <w:szCs w:val="22"/>
        </w:rPr>
        <w:t xml:space="preserve"> </w:t>
      </w:r>
      <w:r w:rsidR="6937B638" w:rsidRPr="1A31C004">
        <w:rPr>
          <w:rFonts w:cstheme="minorBidi"/>
          <w:b/>
          <w:bCs/>
          <w:sz w:val="22"/>
          <w:szCs w:val="22"/>
        </w:rPr>
        <w:t>position</w:t>
      </w:r>
      <w:r w:rsidR="008A2CDB" w:rsidRPr="1A31C004">
        <w:rPr>
          <w:rFonts w:cstheme="minorBidi"/>
          <w:b/>
          <w:bCs/>
          <w:sz w:val="22"/>
          <w:szCs w:val="22"/>
        </w:rPr>
        <w:t xml:space="preserve"> on Energy Charter membership and explore opportunities to voluntarily align with and report against the Charter’s accountability framework and engagement KPIs.</w:t>
      </w:r>
    </w:p>
    <w:p w14:paraId="39B5483E" w14:textId="4FF77FFD" w:rsidR="00BE0B7F" w:rsidRPr="00300286" w:rsidRDefault="00BE0B7F" w:rsidP="00300286">
      <w:pPr>
        <w:spacing w:after="160" w:line="240" w:lineRule="auto"/>
        <w:rPr>
          <w:rFonts w:cstheme="minorBidi"/>
          <w:sz w:val="22"/>
          <w:szCs w:val="22"/>
        </w:rPr>
      </w:pPr>
      <w:r w:rsidRPr="1A31C004">
        <w:rPr>
          <w:rFonts w:cstheme="minorBidi"/>
          <w:b/>
          <w:bCs/>
          <w:sz w:val="22"/>
          <w:szCs w:val="22"/>
        </w:rPr>
        <w:t xml:space="preserve">Craig Wilkins </w:t>
      </w:r>
      <w:r w:rsidRPr="1A31C004">
        <w:rPr>
          <w:rFonts w:cstheme="minorBidi"/>
          <w:sz w:val="22"/>
          <w:szCs w:val="22"/>
        </w:rPr>
        <w:t>raised the topic of </w:t>
      </w:r>
      <w:r w:rsidRPr="1A31C004">
        <w:rPr>
          <w:rFonts w:cstheme="minorBidi"/>
          <w:b/>
          <w:bCs/>
          <w:sz w:val="22"/>
          <w:szCs w:val="22"/>
        </w:rPr>
        <w:t>COP31</w:t>
      </w:r>
      <w:r w:rsidRPr="1A31C004">
        <w:rPr>
          <w:rFonts w:cstheme="minorBidi"/>
          <w:sz w:val="22"/>
          <w:szCs w:val="22"/>
        </w:rPr>
        <w:t xml:space="preserve"> and mentioned ongoing discussions with the Head of </w:t>
      </w:r>
      <w:r w:rsidR="001D200C" w:rsidRPr="1A31C004">
        <w:rPr>
          <w:rFonts w:cstheme="minorBidi"/>
          <w:sz w:val="22"/>
          <w:szCs w:val="22"/>
        </w:rPr>
        <w:t>TT</w:t>
      </w:r>
      <w:r w:rsidRPr="1A31C004">
        <w:rPr>
          <w:rFonts w:cstheme="minorBidi"/>
          <w:sz w:val="22"/>
          <w:szCs w:val="22"/>
        </w:rPr>
        <w:t>he Energy Charter. He noted that South Australia could be a potential host for the event, presenting another opportunity for ElectraNet to consider formal involvement with the Charter.</w:t>
      </w:r>
    </w:p>
    <w:p w14:paraId="4460E390" w14:textId="5406F257" w:rsidR="006A0C41" w:rsidRPr="00300286" w:rsidRDefault="006A0C41" w:rsidP="00300286">
      <w:pPr>
        <w:spacing w:after="160" w:line="240" w:lineRule="auto"/>
        <w:rPr>
          <w:rFonts w:cstheme="minorHAnsi"/>
          <w:sz w:val="22"/>
          <w:szCs w:val="22"/>
        </w:rPr>
      </w:pPr>
      <w:r w:rsidRPr="00300286">
        <w:rPr>
          <w:rFonts w:cstheme="minorHAnsi"/>
          <w:sz w:val="22"/>
          <w:szCs w:val="22"/>
        </w:rPr>
        <w:t>A forward agenda item was proposed to explore the potential opportunities associated with COP31, particularly if the event is hosted in South Australia. With energy-related issues likely to receive increased attention, the discussion would focus on how ElectraNet could proactively and positively leverage COP31 to strengthen its community and stakeholder engagement efforts.</w:t>
      </w:r>
    </w:p>
    <w:p w14:paraId="00A329B5" w14:textId="77777777" w:rsidR="002D7226" w:rsidRPr="00300286" w:rsidRDefault="002D7226" w:rsidP="00300286">
      <w:pPr>
        <w:spacing w:after="160" w:line="240" w:lineRule="auto"/>
        <w:rPr>
          <w:rFonts w:cstheme="minorHAnsi"/>
          <w:sz w:val="22"/>
          <w:szCs w:val="22"/>
        </w:rPr>
      </w:pPr>
      <w:r w:rsidRPr="00300286">
        <w:rPr>
          <w:rFonts w:cstheme="minorHAnsi"/>
          <w:b/>
          <w:bCs/>
          <w:sz w:val="22"/>
          <w:szCs w:val="22"/>
        </w:rPr>
        <w:t>Rebecca Knol</w:t>
      </w:r>
      <w:r w:rsidRPr="00300286">
        <w:rPr>
          <w:rFonts w:cstheme="minorHAnsi"/>
          <w:sz w:val="22"/>
          <w:szCs w:val="22"/>
        </w:rPr>
        <w:t> noted that the resource sector is showing signs of a downturn, with a recent report from Ernst &amp; Young (EY) indicating a flatlining trend by 2027 and a projected decline beginning in 2034.</w:t>
      </w:r>
    </w:p>
    <w:p w14:paraId="0E83C1D3" w14:textId="6F6BBA27" w:rsidR="002D7226" w:rsidRPr="00300286" w:rsidRDefault="004455EF" w:rsidP="00300286">
      <w:pPr>
        <w:spacing w:after="160" w:line="240" w:lineRule="auto"/>
        <w:rPr>
          <w:rFonts w:cstheme="minorHAnsi"/>
          <w:b/>
          <w:bCs/>
          <w:sz w:val="22"/>
          <w:szCs w:val="22"/>
        </w:rPr>
      </w:pPr>
      <w:r w:rsidRPr="00300286">
        <w:rPr>
          <w:rFonts w:cstheme="minorHAnsi"/>
          <w:b/>
          <w:bCs/>
          <w:sz w:val="22"/>
          <w:szCs w:val="22"/>
        </w:rPr>
        <w:t xml:space="preserve">ACTION: </w:t>
      </w:r>
      <w:r w:rsidR="00DF5739" w:rsidRPr="00300286">
        <w:rPr>
          <w:rFonts w:cstheme="minorHAnsi"/>
          <w:b/>
          <w:bCs/>
          <w:sz w:val="22"/>
          <w:szCs w:val="22"/>
        </w:rPr>
        <w:t>Rebecca Knol to p</w:t>
      </w:r>
      <w:r w:rsidR="002D7226" w:rsidRPr="00300286">
        <w:rPr>
          <w:rFonts w:cstheme="minorHAnsi"/>
          <w:b/>
          <w:bCs/>
          <w:sz w:val="22"/>
          <w:szCs w:val="22"/>
        </w:rPr>
        <w:t>rovide the Ernst &amp; Young demand forecast report to support further discussion.</w:t>
      </w:r>
    </w:p>
    <w:p w14:paraId="6F92F847" w14:textId="00827A8B" w:rsidR="006123FD" w:rsidRPr="00300286" w:rsidRDefault="00E5144A" w:rsidP="00300286">
      <w:pPr>
        <w:spacing w:after="160" w:line="240" w:lineRule="auto"/>
        <w:rPr>
          <w:rFonts w:cstheme="minorHAnsi"/>
          <w:sz w:val="22"/>
          <w:szCs w:val="22"/>
        </w:rPr>
      </w:pPr>
      <w:r w:rsidRPr="00300286">
        <w:rPr>
          <w:rFonts w:cstheme="minorHAnsi"/>
          <w:b/>
          <w:bCs/>
          <w:sz w:val="22"/>
          <w:szCs w:val="22"/>
        </w:rPr>
        <w:t xml:space="preserve">Vikram </w:t>
      </w:r>
      <w:r w:rsidR="009E0D8C" w:rsidRPr="00300286">
        <w:rPr>
          <w:rFonts w:cstheme="minorHAnsi"/>
          <w:b/>
          <w:bCs/>
          <w:sz w:val="22"/>
          <w:szCs w:val="22"/>
        </w:rPr>
        <w:t xml:space="preserve">Kenjle </w:t>
      </w:r>
      <w:r w:rsidR="006123FD" w:rsidRPr="00300286">
        <w:rPr>
          <w:rFonts w:cstheme="minorHAnsi"/>
          <w:sz w:val="22"/>
          <w:szCs w:val="22"/>
        </w:rPr>
        <w:t>shared insights from a recent CEDA lunch event, where he attended a panel featuring Simon Emms and the CEO of the Department for Energy and Mining (DEM). He noted it was valuable to hear the CEO speak about recent reports highlighting volatility in demand forecasting. COP31 preparations are gaining momentum.</w:t>
      </w:r>
    </w:p>
    <w:p w14:paraId="319864C4" w14:textId="5F424274" w:rsidR="006123FD" w:rsidRPr="00FB4062" w:rsidRDefault="006123FD" w:rsidP="00FB60E6">
      <w:pPr>
        <w:pStyle w:val="Heading2Numbered"/>
        <w:numPr>
          <w:ilvl w:val="0"/>
          <w:numId w:val="18"/>
        </w:numPr>
        <w:rPr>
          <w:rFonts w:asciiTheme="minorHAnsi" w:hAnsiTheme="minorHAnsi" w:cstheme="minorBidi"/>
          <w:b/>
          <w:bCs/>
        </w:rPr>
      </w:pPr>
      <w:r w:rsidRPr="01916F28">
        <w:rPr>
          <w:rFonts w:asciiTheme="minorHAnsi" w:hAnsiTheme="minorHAnsi" w:cstheme="minorBidi"/>
          <w:b/>
          <w:bCs/>
        </w:rPr>
        <w:t>Presentation on Demand Forecasting from SA Government &amp; AEMO</w:t>
      </w:r>
    </w:p>
    <w:p w14:paraId="2BD0B8D5" w14:textId="27A8F6AD" w:rsidR="00E10A7C" w:rsidRPr="00236F10" w:rsidRDefault="009030ED" w:rsidP="00236F10">
      <w:pPr>
        <w:pStyle w:val="Heading3"/>
      </w:pPr>
      <w:r w:rsidRPr="00236F10">
        <w:t xml:space="preserve">4.1 </w:t>
      </w:r>
      <w:r w:rsidR="00E10A7C" w:rsidRPr="00236F10">
        <w:t>SA Government Demand Forecast</w:t>
      </w:r>
    </w:p>
    <w:p w14:paraId="1EB2D81D" w14:textId="791EC0A0" w:rsidR="49EC3F92" w:rsidRPr="00E30381" w:rsidRDefault="4B6FCE7B" w:rsidP="00E30381">
      <w:pPr>
        <w:spacing w:after="160" w:line="240" w:lineRule="auto"/>
        <w:rPr>
          <w:sz w:val="22"/>
          <w:szCs w:val="22"/>
        </w:rPr>
      </w:pPr>
      <w:r w:rsidRPr="00236F10">
        <w:rPr>
          <w:rFonts w:ascii="Poppins" w:eastAsia="Poppins" w:hAnsi="Poppins" w:cs="Poppins"/>
          <w:b/>
          <w:bCs/>
          <w:sz w:val="22"/>
          <w:szCs w:val="22"/>
        </w:rPr>
        <w:t>Jarrad Pilkington, Director of Forecasting and Planning at the Department for Energy and Mining (DEM)</w:t>
      </w:r>
      <w:r w:rsidRPr="00E30381">
        <w:rPr>
          <w:rFonts w:ascii="Poppins" w:eastAsia="Poppins" w:hAnsi="Poppins" w:cs="Poppins"/>
          <w:sz w:val="22"/>
          <w:szCs w:val="22"/>
        </w:rPr>
        <w:t xml:space="preserve">, presented the draft electricity demand forecast. He outlined a projected increase of approximately </w:t>
      </w:r>
      <w:r w:rsidRPr="00E30381">
        <w:rPr>
          <w:rFonts w:ascii="Poppins" w:eastAsia="Poppins" w:hAnsi="Poppins" w:cs="Poppins"/>
          <w:b/>
          <w:bCs/>
          <w:sz w:val="22"/>
          <w:szCs w:val="22"/>
        </w:rPr>
        <w:t>1.5 GW in electricity demand over the next 5–6 years</w:t>
      </w:r>
      <w:r w:rsidRPr="00E30381">
        <w:rPr>
          <w:rFonts w:ascii="Poppins" w:eastAsia="Poppins" w:hAnsi="Poppins" w:cs="Poppins"/>
          <w:sz w:val="22"/>
          <w:szCs w:val="22"/>
        </w:rPr>
        <w:t xml:space="preserve">, with peak demand expected to rise from around 3,000 MW to more than </w:t>
      </w:r>
      <w:r w:rsidR="00F850BD">
        <w:rPr>
          <w:rFonts w:ascii="Poppins" w:eastAsia="Poppins" w:hAnsi="Poppins" w:cs="Poppins"/>
          <w:sz w:val="22"/>
          <w:szCs w:val="22"/>
        </w:rPr>
        <w:br/>
      </w:r>
      <w:r w:rsidRPr="00E30381">
        <w:rPr>
          <w:rFonts w:ascii="Poppins" w:eastAsia="Poppins" w:hAnsi="Poppins" w:cs="Poppins"/>
          <w:sz w:val="22"/>
          <w:szCs w:val="22"/>
        </w:rPr>
        <w:t>4,000 MW within five years and over 5,000 MW by 2035. This growth is closely tied to South Australia’s economic and energy ambitions, particularly industrial expansion and electrification.</w:t>
      </w:r>
    </w:p>
    <w:p w14:paraId="371AD706" w14:textId="6BA2B105" w:rsidR="4B6FCE7B" w:rsidRPr="00FB60E6" w:rsidRDefault="4B6FCE7B" w:rsidP="00E30381">
      <w:pPr>
        <w:pStyle w:val="Heading3"/>
        <w:spacing w:after="160" w:line="240" w:lineRule="auto"/>
        <w:rPr>
          <w:color w:val="000000" w:themeColor="text1"/>
          <w:sz w:val="22"/>
          <w:szCs w:val="22"/>
        </w:rPr>
      </w:pPr>
      <w:r w:rsidRPr="00FB60E6">
        <w:rPr>
          <w:rFonts w:ascii="Poppins" w:eastAsia="Poppins" w:hAnsi="Poppins" w:cs="Poppins"/>
          <w:b/>
          <w:bCs/>
          <w:color w:val="000000" w:themeColor="text1"/>
          <w:sz w:val="22"/>
          <w:szCs w:val="22"/>
        </w:rPr>
        <w:t>Key Challenges</w:t>
      </w:r>
    </w:p>
    <w:p w14:paraId="35E292EB" w14:textId="62ED47C1" w:rsidR="4B6FCE7B" w:rsidRPr="00E30381" w:rsidRDefault="4B6FCE7B" w:rsidP="00E30381">
      <w:pPr>
        <w:pStyle w:val="ListParagraph"/>
        <w:numPr>
          <w:ilvl w:val="0"/>
          <w:numId w:val="37"/>
        </w:numPr>
        <w:spacing w:after="160" w:line="240" w:lineRule="auto"/>
        <w:rPr>
          <w:rFonts w:ascii="Poppins" w:eastAsia="Poppins" w:hAnsi="Poppins" w:cs="Poppins"/>
          <w:sz w:val="22"/>
          <w:szCs w:val="22"/>
        </w:rPr>
      </w:pPr>
      <w:r w:rsidRPr="00E30381">
        <w:rPr>
          <w:rFonts w:ascii="Poppins" w:eastAsia="Poppins" w:hAnsi="Poppins" w:cs="Poppins"/>
          <w:sz w:val="22"/>
          <w:szCs w:val="22"/>
        </w:rPr>
        <w:t>Energy demand forecasting is inherently challenging due to uncertainties in industrial development, consumer behaviour, and weather variability.</w:t>
      </w:r>
    </w:p>
    <w:p w14:paraId="7F6FCCA8" w14:textId="26518857" w:rsidR="4B6FCE7B" w:rsidRPr="00E30381" w:rsidRDefault="4B6FCE7B" w:rsidP="00E30381">
      <w:pPr>
        <w:pStyle w:val="ListParagraph"/>
        <w:numPr>
          <w:ilvl w:val="0"/>
          <w:numId w:val="37"/>
        </w:numPr>
        <w:spacing w:after="160" w:line="240" w:lineRule="auto"/>
        <w:rPr>
          <w:rFonts w:ascii="Poppins" w:eastAsia="Poppins" w:hAnsi="Poppins" w:cs="Poppins"/>
          <w:sz w:val="22"/>
          <w:szCs w:val="22"/>
        </w:rPr>
      </w:pPr>
      <w:r w:rsidRPr="00E30381">
        <w:rPr>
          <w:rFonts w:ascii="Poppins" w:eastAsia="Poppins" w:hAnsi="Poppins" w:cs="Poppins"/>
          <w:sz w:val="22"/>
          <w:szCs w:val="22"/>
        </w:rPr>
        <w:t>The transition away from coal in other jurisdictions could create complexity for South Australia, as eastern states become capacity-constrained and less able to support SA through interconnection.</w:t>
      </w:r>
    </w:p>
    <w:p w14:paraId="38945314" w14:textId="103F9D1B" w:rsidR="4B6FCE7B" w:rsidRPr="00E30381" w:rsidRDefault="4B6FCE7B" w:rsidP="00E30381">
      <w:pPr>
        <w:pStyle w:val="ListParagraph"/>
        <w:numPr>
          <w:ilvl w:val="0"/>
          <w:numId w:val="37"/>
        </w:numPr>
        <w:spacing w:after="160" w:line="240" w:lineRule="auto"/>
        <w:rPr>
          <w:rFonts w:ascii="Poppins" w:eastAsia="Poppins" w:hAnsi="Poppins" w:cs="Poppins"/>
          <w:sz w:val="22"/>
          <w:szCs w:val="22"/>
        </w:rPr>
      </w:pPr>
      <w:r w:rsidRPr="00E30381">
        <w:rPr>
          <w:rFonts w:ascii="Poppins" w:eastAsia="Poppins" w:hAnsi="Poppins" w:cs="Poppins"/>
          <w:sz w:val="22"/>
          <w:szCs w:val="22"/>
        </w:rPr>
        <w:t>The energy market is finely tuned and often “runs lean,” meaning small imbalances can lead to reliability risks.</w:t>
      </w:r>
    </w:p>
    <w:p w14:paraId="6668B6E7" w14:textId="0FD57BEF" w:rsidR="4B6FCE7B" w:rsidRPr="00FB60E6" w:rsidRDefault="4B6FCE7B" w:rsidP="00E30381">
      <w:pPr>
        <w:pStyle w:val="Heading3"/>
        <w:spacing w:after="160" w:line="240" w:lineRule="auto"/>
        <w:rPr>
          <w:color w:val="000000" w:themeColor="text1"/>
          <w:sz w:val="22"/>
          <w:szCs w:val="22"/>
        </w:rPr>
      </w:pPr>
      <w:r w:rsidRPr="00E30381">
        <w:rPr>
          <w:rFonts w:ascii="Poppins" w:eastAsia="Poppins" w:hAnsi="Poppins" w:cs="Poppins"/>
          <w:b/>
          <w:bCs/>
          <w:color w:val="000000" w:themeColor="text1"/>
          <w:sz w:val="22"/>
          <w:szCs w:val="22"/>
        </w:rPr>
        <w:t>Emerging Risks and Updated Inputs</w:t>
      </w:r>
    </w:p>
    <w:p w14:paraId="341B4667" w14:textId="559B2A62" w:rsidR="4B6FCE7B" w:rsidRPr="00E30381" w:rsidRDefault="4B6FCE7B" w:rsidP="00E30381">
      <w:pPr>
        <w:spacing w:after="160" w:line="240" w:lineRule="auto"/>
        <w:rPr>
          <w:sz w:val="22"/>
          <w:szCs w:val="22"/>
        </w:rPr>
      </w:pPr>
      <w:r w:rsidRPr="00E30381">
        <w:rPr>
          <w:rFonts w:ascii="Poppins" w:eastAsia="Poppins" w:hAnsi="Poppins" w:cs="Poppins"/>
          <w:sz w:val="22"/>
          <w:szCs w:val="22"/>
        </w:rPr>
        <w:t>The forecast reflects significant changes since the 2024 Integrated System Plan (ISP), incorporating updated inputs from SAPN and AEMO. Notable points include:</w:t>
      </w:r>
    </w:p>
    <w:p w14:paraId="0D2B43A6" w14:textId="2A135D1D" w:rsidR="4B6FCE7B" w:rsidRPr="00E30381" w:rsidRDefault="4B6FCE7B" w:rsidP="00E30381">
      <w:pPr>
        <w:pStyle w:val="ListParagraph"/>
        <w:numPr>
          <w:ilvl w:val="0"/>
          <w:numId w:val="38"/>
        </w:numPr>
        <w:spacing w:after="160" w:line="240" w:lineRule="auto"/>
        <w:rPr>
          <w:rFonts w:ascii="Poppins" w:eastAsia="Poppins" w:hAnsi="Poppins" w:cs="Poppins"/>
          <w:sz w:val="22"/>
          <w:szCs w:val="22"/>
        </w:rPr>
      </w:pPr>
      <w:r w:rsidRPr="00E30381">
        <w:rPr>
          <w:rFonts w:ascii="Poppins" w:eastAsia="Poppins" w:hAnsi="Poppins" w:cs="Poppins"/>
          <w:sz w:val="22"/>
          <w:szCs w:val="22"/>
        </w:rPr>
        <w:t>Accelerating EV uptake, which is occurring faster than current data suggests.</w:t>
      </w:r>
    </w:p>
    <w:p w14:paraId="2E2FD978" w14:textId="300DC643" w:rsidR="4B6FCE7B" w:rsidRPr="00E30381" w:rsidRDefault="4B6FCE7B" w:rsidP="00E30381">
      <w:pPr>
        <w:pStyle w:val="ListParagraph"/>
        <w:numPr>
          <w:ilvl w:val="0"/>
          <w:numId w:val="38"/>
        </w:numPr>
        <w:spacing w:after="160" w:line="240" w:lineRule="auto"/>
        <w:rPr>
          <w:rFonts w:ascii="Poppins" w:eastAsia="Poppins" w:hAnsi="Poppins" w:cs="Poppins"/>
          <w:sz w:val="22"/>
          <w:szCs w:val="22"/>
        </w:rPr>
      </w:pPr>
      <w:r w:rsidRPr="00E30381">
        <w:rPr>
          <w:rFonts w:ascii="Poppins" w:eastAsia="Poppins" w:hAnsi="Poppins" w:cs="Poppins"/>
          <w:sz w:val="22"/>
          <w:szCs w:val="22"/>
        </w:rPr>
        <w:t>Data centres, while not yet included in the forecast, are expected to become major contributors, with active enquiries already underway.</w:t>
      </w:r>
    </w:p>
    <w:p w14:paraId="2BC9D388" w14:textId="436D2393" w:rsidR="4B6FCE7B" w:rsidRPr="00E30381" w:rsidRDefault="4B6FCE7B" w:rsidP="00E30381">
      <w:pPr>
        <w:pStyle w:val="ListParagraph"/>
        <w:numPr>
          <w:ilvl w:val="0"/>
          <w:numId w:val="38"/>
        </w:numPr>
        <w:spacing w:after="160" w:line="240" w:lineRule="auto"/>
        <w:rPr>
          <w:rFonts w:ascii="Poppins" w:eastAsia="Poppins" w:hAnsi="Poppins" w:cs="Poppins"/>
          <w:sz w:val="22"/>
          <w:szCs w:val="22"/>
        </w:rPr>
      </w:pPr>
      <w:r w:rsidRPr="00E30381">
        <w:rPr>
          <w:rFonts w:ascii="Poppins" w:eastAsia="Poppins" w:hAnsi="Poppins" w:cs="Poppins"/>
          <w:sz w:val="22"/>
          <w:szCs w:val="22"/>
        </w:rPr>
        <w:t>Reliability risks include the upcoming closure of Torrens Island Power Station and delays to Project EnergyConnect, which were intended to replace lost capacity.</w:t>
      </w:r>
    </w:p>
    <w:p w14:paraId="377E5250" w14:textId="13805DE0" w:rsidR="4B6FCE7B" w:rsidRPr="00E30381" w:rsidRDefault="4B6FCE7B" w:rsidP="00E30381">
      <w:pPr>
        <w:pStyle w:val="ListParagraph"/>
        <w:numPr>
          <w:ilvl w:val="0"/>
          <w:numId w:val="38"/>
        </w:numPr>
        <w:spacing w:after="160" w:line="240" w:lineRule="auto"/>
        <w:rPr>
          <w:rFonts w:ascii="Poppins" w:eastAsia="Poppins" w:hAnsi="Poppins" w:cs="Poppins"/>
          <w:sz w:val="22"/>
          <w:szCs w:val="22"/>
        </w:rPr>
      </w:pPr>
      <w:r w:rsidRPr="00E30381">
        <w:rPr>
          <w:rFonts w:ascii="Poppins" w:eastAsia="Poppins" w:hAnsi="Poppins" w:cs="Poppins"/>
          <w:sz w:val="22"/>
          <w:szCs w:val="22"/>
        </w:rPr>
        <w:t>Retirement of some renewable projects adds further complexity.</w:t>
      </w:r>
    </w:p>
    <w:p w14:paraId="2DF4191C" w14:textId="3290E394" w:rsidR="4B6FCE7B" w:rsidRPr="00E30381" w:rsidRDefault="4B6FCE7B" w:rsidP="00E30381">
      <w:pPr>
        <w:pStyle w:val="ListParagraph"/>
        <w:numPr>
          <w:ilvl w:val="0"/>
          <w:numId w:val="38"/>
        </w:numPr>
        <w:spacing w:after="160" w:line="240" w:lineRule="auto"/>
        <w:rPr>
          <w:rFonts w:ascii="Poppins" w:eastAsia="Poppins" w:hAnsi="Poppins" w:cs="Poppins"/>
          <w:sz w:val="22"/>
          <w:szCs w:val="22"/>
        </w:rPr>
      </w:pPr>
      <w:r w:rsidRPr="00E30381">
        <w:rPr>
          <w:rFonts w:ascii="Poppins" w:eastAsia="Poppins" w:hAnsi="Poppins" w:cs="Poppins"/>
          <w:sz w:val="22"/>
          <w:szCs w:val="22"/>
        </w:rPr>
        <w:t>These risks highlight the importance of aligning infrastructure planning with government policy, particularly as South Australia aims to reach 100% renewable energy by 2027.</w:t>
      </w:r>
    </w:p>
    <w:p w14:paraId="322B7A3B" w14:textId="1BE820AC" w:rsidR="4B6FCE7B" w:rsidRPr="00E30381" w:rsidRDefault="4B6FCE7B" w:rsidP="00E30381">
      <w:pPr>
        <w:pStyle w:val="Heading3"/>
        <w:spacing w:after="160" w:line="240" w:lineRule="auto"/>
        <w:rPr>
          <w:b/>
          <w:bCs/>
          <w:sz w:val="22"/>
          <w:szCs w:val="22"/>
        </w:rPr>
      </w:pPr>
      <w:r w:rsidRPr="00E30381">
        <w:rPr>
          <w:rFonts w:ascii="Poppins" w:eastAsia="Poppins" w:hAnsi="Poppins" w:cs="Poppins"/>
          <w:b/>
          <w:bCs/>
          <w:color w:val="000000" w:themeColor="text1"/>
          <w:sz w:val="22"/>
          <w:szCs w:val="22"/>
        </w:rPr>
        <w:t>Mitigation Measures</w:t>
      </w:r>
    </w:p>
    <w:p w14:paraId="604BE784" w14:textId="65C03D8E" w:rsidR="4B6FCE7B" w:rsidRPr="00E30381" w:rsidRDefault="4B6FCE7B" w:rsidP="00E30381">
      <w:pPr>
        <w:spacing w:after="160" w:line="240" w:lineRule="auto"/>
        <w:rPr>
          <w:sz w:val="22"/>
          <w:szCs w:val="22"/>
        </w:rPr>
      </w:pPr>
      <w:r w:rsidRPr="00E30381">
        <w:rPr>
          <w:rFonts w:ascii="Poppins" w:eastAsia="Poppins" w:hAnsi="Poppins" w:cs="Poppins"/>
          <w:sz w:val="22"/>
          <w:szCs w:val="22"/>
        </w:rPr>
        <w:t>To address potential capacity gaps, the Firm Energy Reliability Mechanism (FERM) is being introduced, with the first auction round expected before the end of the year. There is also a need for improved modelling of Consumer Energy Resources (CER) and demand-side behaviours to help reduce overall grid demand and improve system efficiency. Without proactive planning, South Australia faces increased price volatility and reliability challenges.</w:t>
      </w:r>
    </w:p>
    <w:p w14:paraId="6BB6BDA8" w14:textId="77777777" w:rsidR="007D2409" w:rsidRPr="00E30381" w:rsidRDefault="007D2409" w:rsidP="00E30381">
      <w:pPr>
        <w:spacing w:after="160" w:line="240" w:lineRule="auto"/>
        <w:rPr>
          <w:rFonts w:cstheme="minorHAnsi"/>
          <w:b/>
          <w:bCs/>
          <w:sz w:val="22"/>
          <w:szCs w:val="22"/>
        </w:rPr>
      </w:pPr>
      <w:r w:rsidRPr="00E30381">
        <w:rPr>
          <w:rFonts w:cstheme="minorHAnsi"/>
          <w:b/>
          <w:bCs/>
          <w:sz w:val="22"/>
          <w:szCs w:val="22"/>
        </w:rPr>
        <w:t>Key Drivers of Demand Growth</w:t>
      </w:r>
    </w:p>
    <w:p w14:paraId="7FBA6429" w14:textId="48B5853E" w:rsidR="0013240A" w:rsidRPr="00E30381" w:rsidRDefault="0013240A" w:rsidP="00E30381">
      <w:pPr>
        <w:spacing w:after="160" w:line="240" w:lineRule="auto"/>
        <w:rPr>
          <w:rFonts w:cstheme="minorHAnsi"/>
          <w:sz w:val="22"/>
          <w:szCs w:val="22"/>
        </w:rPr>
      </w:pPr>
      <w:r w:rsidRPr="00E30381">
        <w:rPr>
          <w:rFonts w:cstheme="minorHAnsi"/>
          <w:sz w:val="22"/>
          <w:szCs w:val="22"/>
        </w:rPr>
        <w:t>Jarrad identified the key drivers of demand growth as follows:</w:t>
      </w:r>
    </w:p>
    <w:p w14:paraId="5C96BDCE" w14:textId="77777777" w:rsidR="007D2409" w:rsidRPr="00E30381" w:rsidRDefault="007D2409" w:rsidP="008E44F3">
      <w:pPr>
        <w:numPr>
          <w:ilvl w:val="0"/>
          <w:numId w:val="21"/>
        </w:numPr>
        <w:spacing w:after="160" w:line="240" w:lineRule="auto"/>
        <w:ind w:left="714" w:hanging="357"/>
        <w:contextualSpacing/>
        <w:rPr>
          <w:rFonts w:cstheme="minorHAnsi"/>
          <w:sz w:val="22"/>
          <w:szCs w:val="22"/>
        </w:rPr>
      </w:pPr>
      <w:r w:rsidRPr="00E30381">
        <w:rPr>
          <w:rFonts w:cstheme="minorHAnsi"/>
          <w:sz w:val="22"/>
          <w:szCs w:val="22"/>
        </w:rPr>
        <w:t>Industrial expansion (e.g. BHP developments)</w:t>
      </w:r>
    </w:p>
    <w:p w14:paraId="1DFC77B5" w14:textId="77777777" w:rsidR="007D2409" w:rsidRPr="00E30381" w:rsidRDefault="007D2409" w:rsidP="008E44F3">
      <w:pPr>
        <w:numPr>
          <w:ilvl w:val="0"/>
          <w:numId w:val="21"/>
        </w:numPr>
        <w:spacing w:after="160" w:line="240" w:lineRule="auto"/>
        <w:ind w:left="714" w:hanging="357"/>
        <w:contextualSpacing/>
        <w:rPr>
          <w:rFonts w:cstheme="minorHAnsi"/>
          <w:sz w:val="22"/>
          <w:szCs w:val="22"/>
        </w:rPr>
      </w:pPr>
      <w:r w:rsidRPr="00E30381">
        <w:rPr>
          <w:rFonts w:cstheme="minorHAnsi"/>
          <w:sz w:val="22"/>
          <w:szCs w:val="22"/>
        </w:rPr>
        <w:t>Electrification across sectors</w:t>
      </w:r>
    </w:p>
    <w:p w14:paraId="7989157F" w14:textId="77777777" w:rsidR="007D2409" w:rsidRPr="00E30381" w:rsidRDefault="007D2409" w:rsidP="008E44F3">
      <w:pPr>
        <w:numPr>
          <w:ilvl w:val="0"/>
          <w:numId w:val="21"/>
        </w:numPr>
        <w:spacing w:after="160" w:line="240" w:lineRule="auto"/>
        <w:ind w:left="714" w:hanging="357"/>
        <w:contextualSpacing/>
        <w:rPr>
          <w:rFonts w:cstheme="minorHAnsi"/>
          <w:sz w:val="22"/>
          <w:szCs w:val="22"/>
        </w:rPr>
      </w:pPr>
      <w:r w:rsidRPr="00E30381">
        <w:rPr>
          <w:rFonts w:cstheme="minorHAnsi"/>
          <w:sz w:val="22"/>
          <w:szCs w:val="22"/>
        </w:rPr>
        <w:t>Anticipated data centre development</w:t>
      </w:r>
    </w:p>
    <w:p w14:paraId="1B0A9290" w14:textId="77777777" w:rsidR="007D2409" w:rsidRPr="00E30381" w:rsidRDefault="007D2409" w:rsidP="008E44F3">
      <w:pPr>
        <w:numPr>
          <w:ilvl w:val="0"/>
          <w:numId w:val="21"/>
        </w:numPr>
        <w:spacing w:after="160" w:line="240" w:lineRule="auto"/>
        <w:ind w:left="714" w:hanging="357"/>
        <w:contextualSpacing/>
        <w:rPr>
          <w:rFonts w:cstheme="minorHAnsi"/>
          <w:sz w:val="22"/>
          <w:szCs w:val="22"/>
        </w:rPr>
      </w:pPr>
      <w:r w:rsidRPr="00E30381">
        <w:rPr>
          <w:rFonts w:cstheme="minorHAnsi"/>
          <w:sz w:val="22"/>
          <w:szCs w:val="22"/>
        </w:rPr>
        <w:t>Accelerating EV uptake</w:t>
      </w:r>
    </w:p>
    <w:p w14:paraId="7FA567AA" w14:textId="77777777" w:rsidR="007D2409" w:rsidRPr="00E30381" w:rsidRDefault="007D2409" w:rsidP="008E44F3">
      <w:pPr>
        <w:numPr>
          <w:ilvl w:val="0"/>
          <w:numId w:val="21"/>
        </w:numPr>
        <w:spacing w:after="160" w:line="240" w:lineRule="auto"/>
        <w:ind w:left="714" w:hanging="357"/>
        <w:rPr>
          <w:rFonts w:cstheme="minorHAnsi"/>
          <w:sz w:val="22"/>
          <w:szCs w:val="22"/>
        </w:rPr>
      </w:pPr>
      <w:r w:rsidRPr="00E30381">
        <w:rPr>
          <w:rFonts w:cstheme="minorBidi"/>
          <w:sz w:val="22"/>
          <w:szCs w:val="22"/>
        </w:rPr>
        <w:t>Increased CER adoption</w:t>
      </w:r>
    </w:p>
    <w:p w14:paraId="329AB45C" w14:textId="542E17D8" w:rsidR="73FF86C6" w:rsidRPr="00E30381" w:rsidRDefault="73FF86C6" w:rsidP="008E44F3">
      <w:pPr>
        <w:spacing w:after="160" w:line="240" w:lineRule="auto"/>
        <w:rPr>
          <w:rFonts w:ascii="Poppins" w:hAnsi="Poppins" w:cs="Poppins"/>
          <w:sz w:val="22"/>
          <w:szCs w:val="22"/>
        </w:rPr>
      </w:pPr>
      <w:r w:rsidRPr="00E30381">
        <w:rPr>
          <w:rFonts w:ascii="Poppins" w:hAnsi="Poppins" w:cs="Poppins"/>
          <w:sz w:val="22"/>
          <w:szCs w:val="22"/>
        </w:rPr>
        <w:t>Jarrad emphasised the growing need to proactively plan for consumer behaviour shifts and ensure infrastructure augmentation keeps pace with demand.</w:t>
      </w:r>
    </w:p>
    <w:p w14:paraId="505BFE95" w14:textId="0F55AFA8" w:rsidR="008E44F3" w:rsidRDefault="008E44F3" w:rsidP="008E44F3">
      <w:pPr>
        <w:spacing w:after="160" w:line="240" w:lineRule="auto"/>
        <w:rPr>
          <w:rFonts w:cstheme="minorBidi"/>
          <w:b/>
          <w:sz w:val="22"/>
          <w:szCs w:val="22"/>
        </w:rPr>
      </w:pPr>
      <w:r>
        <w:rPr>
          <w:rFonts w:asciiTheme="majorHAnsi" w:hAnsiTheme="majorHAnsi" w:cstheme="minorHAnsi"/>
          <w:color w:val="B8D0EC" w:themeColor="accent5"/>
          <w:sz w:val="24"/>
          <w:szCs w:val="24"/>
        </w:rPr>
        <w:t>4.2</w:t>
      </w:r>
      <w:r w:rsidRPr="0072695E">
        <w:rPr>
          <w:rFonts w:asciiTheme="majorHAnsi" w:hAnsiTheme="majorHAnsi" w:cstheme="minorHAnsi"/>
          <w:color w:val="B8D0EC" w:themeColor="accent5"/>
          <w:sz w:val="24"/>
          <w:szCs w:val="24"/>
        </w:rPr>
        <w:t xml:space="preserve"> </w:t>
      </w:r>
      <w:r>
        <w:rPr>
          <w:rFonts w:asciiTheme="majorHAnsi" w:hAnsiTheme="majorHAnsi" w:cstheme="minorHAnsi"/>
          <w:color w:val="B8D0EC" w:themeColor="accent5"/>
          <w:sz w:val="24"/>
          <w:szCs w:val="24"/>
        </w:rPr>
        <w:t xml:space="preserve">AEMO Demand Forecast </w:t>
      </w:r>
    </w:p>
    <w:p w14:paraId="4FB2E85E" w14:textId="58F93832" w:rsidR="00AA25BD" w:rsidRPr="00E30381" w:rsidRDefault="00AA25BD" w:rsidP="00E30381">
      <w:pPr>
        <w:spacing w:after="160" w:line="240" w:lineRule="auto"/>
        <w:rPr>
          <w:rFonts w:cstheme="minorBidi"/>
          <w:sz w:val="22"/>
          <w:szCs w:val="22"/>
        </w:rPr>
      </w:pPr>
      <w:r w:rsidRPr="1A31C004">
        <w:rPr>
          <w:rFonts w:cstheme="minorBidi"/>
          <w:b/>
          <w:bCs/>
          <w:sz w:val="22"/>
          <w:szCs w:val="22"/>
        </w:rPr>
        <w:t>Andrew Turley (Group Manager of Forecasting, AEMO)</w:t>
      </w:r>
      <w:r w:rsidRPr="1A31C004">
        <w:rPr>
          <w:rFonts w:cstheme="minorBidi"/>
          <w:sz w:val="22"/>
          <w:szCs w:val="22"/>
        </w:rPr>
        <w:t> presented the 2025 South Australian Consumption and Demand Forecasts. The presentation outlined significant updates to AEMO’s forecasting approach, including the use of three key scenarios to model future energy demand:</w:t>
      </w:r>
    </w:p>
    <w:p w14:paraId="1D8936DE" w14:textId="0391B3C7" w:rsidR="00AA25BD" w:rsidRPr="00E30381" w:rsidRDefault="00AA25BD" w:rsidP="00CE1D52">
      <w:pPr>
        <w:numPr>
          <w:ilvl w:val="0"/>
          <w:numId w:val="20"/>
        </w:numPr>
        <w:spacing w:before="80" w:after="100" w:line="240" w:lineRule="auto"/>
        <w:ind w:left="714" w:hanging="357"/>
        <w:rPr>
          <w:rFonts w:cstheme="minorHAnsi"/>
          <w:sz w:val="22"/>
          <w:szCs w:val="22"/>
        </w:rPr>
      </w:pPr>
      <w:r w:rsidRPr="00E30381">
        <w:rPr>
          <w:rFonts w:cstheme="minorHAnsi"/>
          <w:b/>
          <w:bCs/>
          <w:sz w:val="22"/>
          <w:szCs w:val="22"/>
        </w:rPr>
        <w:t>Slower Growth</w:t>
      </w:r>
      <w:r w:rsidRPr="00E30381">
        <w:rPr>
          <w:rFonts w:cstheme="minorHAnsi"/>
          <w:sz w:val="22"/>
          <w:szCs w:val="22"/>
        </w:rPr>
        <w:t xml:space="preserve"> – Reflects </w:t>
      </w:r>
      <w:r w:rsidR="00877C2C">
        <w:rPr>
          <w:rFonts w:cstheme="minorHAnsi"/>
          <w:sz w:val="22"/>
          <w:szCs w:val="22"/>
        </w:rPr>
        <w:t xml:space="preserve">low rate of </w:t>
      </w:r>
      <w:r w:rsidRPr="00E30381">
        <w:rPr>
          <w:rFonts w:cstheme="minorHAnsi"/>
          <w:sz w:val="22"/>
          <w:szCs w:val="22"/>
        </w:rPr>
        <w:t xml:space="preserve">economic </w:t>
      </w:r>
      <w:r w:rsidR="00877C2C">
        <w:rPr>
          <w:rFonts w:cstheme="minorHAnsi"/>
          <w:sz w:val="22"/>
          <w:szCs w:val="22"/>
        </w:rPr>
        <w:t xml:space="preserve">development and decarbonisation </w:t>
      </w:r>
      <w:r w:rsidRPr="00E30381">
        <w:rPr>
          <w:rFonts w:cstheme="minorHAnsi"/>
          <w:sz w:val="22"/>
          <w:szCs w:val="22"/>
        </w:rPr>
        <w:t>and cautious investment.</w:t>
      </w:r>
    </w:p>
    <w:p w14:paraId="340A9886" w14:textId="77777777" w:rsidR="00AA25BD" w:rsidRPr="00E30381" w:rsidRDefault="00AA25BD" w:rsidP="00CE1D52">
      <w:pPr>
        <w:numPr>
          <w:ilvl w:val="0"/>
          <w:numId w:val="20"/>
        </w:numPr>
        <w:spacing w:before="80" w:after="100" w:line="240" w:lineRule="auto"/>
        <w:ind w:left="714" w:hanging="357"/>
        <w:rPr>
          <w:rFonts w:cstheme="minorHAnsi"/>
          <w:sz w:val="22"/>
          <w:szCs w:val="22"/>
        </w:rPr>
      </w:pPr>
      <w:r w:rsidRPr="00E30381">
        <w:rPr>
          <w:rFonts w:cstheme="minorHAnsi"/>
          <w:b/>
          <w:bCs/>
          <w:sz w:val="22"/>
          <w:szCs w:val="22"/>
        </w:rPr>
        <w:t>Step Change</w:t>
      </w:r>
      <w:r w:rsidRPr="00E30381">
        <w:rPr>
          <w:rFonts w:cstheme="minorHAnsi"/>
          <w:sz w:val="22"/>
          <w:szCs w:val="22"/>
        </w:rPr>
        <w:t> – Assumes strong decarbonisation, increased uptake of consumer energy resources (CER), and electrification.</w:t>
      </w:r>
    </w:p>
    <w:p w14:paraId="158A1729" w14:textId="77777777" w:rsidR="00AA25BD" w:rsidRPr="00E30381" w:rsidRDefault="00AA25BD" w:rsidP="00CE1D52">
      <w:pPr>
        <w:numPr>
          <w:ilvl w:val="0"/>
          <w:numId w:val="20"/>
        </w:numPr>
        <w:spacing w:before="80" w:line="240" w:lineRule="auto"/>
        <w:ind w:left="714" w:hanging="357"/>
        <w:rPr>
          <w:rFonts w:cstheme="minorHAnsi"/>
          <w:sz w:val="22"/>
          <w:szCs w:val="22"/>
        </w:rPr>
      </w:pPr>
      <w:r w:rsidRPr="00E30381">
        <w:rPr>
          <w:rFonts w:cstheme="minorHAnsi"/>
          <w:b/>
          <w:bCs/>
          <w:sz w:val="22"/>
          <w:szCs w:val="22"/>
        </w:rPr>
        <w:t>Accelerated Transition</w:t>
      </w:r>
      <w:r w:rsidRPr="00E30381">
        <w:rPr>
          <w:rFonts w:cstheme="minorHAnsi"/>
          <w:sz w:val="22"/>
          <w:szCs w:val="22"/>
        </w:rPr>
        <w:t> – Models rapid decarbonisation supported by Australia’s renewable potential and industrial expansion.</w:t>
      </w:r>
    </w:p>
    <w:p w14:paraId="6DA7487F" w14:textId="6A3A7560" w:rsidR="00AA25BD" w:rsidRPr="00E30381" w:rsidRDefault="00AA25BD" w:rsidP="00E30381">
      <w:pPr>
        <w:spacing w:after="160" w:line="240" w:lineRule="auto"/>
        <w:rPr>
          <w:rFonts w:cstheme="minorHAnsi"/>
          <w:sz w:val="22"/>
          <w:szCs w:val="22"/>
        </w:rPr>
      </w:pPr>
      <w:r w:rsidRPr="00E30381">
        <w:rPr>
          <w:rFonts w:cstheme="minorHAnsi"/>
          <w:sz w:val="22"/>
          <w:szCs w:val="22"/>
        </w:rPr>
        <w:t>AEMO has updated its methodology to include prospective large industrial loads (LILs) and data centres, with a</w:t>
      </w:r>
      <w:r w:rsidR="00C96CB0" w:rsidRPr="00E30381">
        <w:rPr>
          <w:rFonts w:cstheme="minorHAnsi"/>
          <w:sz w:val="22"/>
          <w:szCs w:val="22"/>
        </w:rPr>
        <w:t>n</w:t>
      </w:r>
      <w:r w:rsidRPr="00E30381">
        <w:rPr>
          <w:rFonts w:cstheme="minorHAnsi"/>
          <w:sz w:val="22"/>
          <w:szCs w:val="22"/>
        </w:rPr>
        <w:t xml:space="preserve"> </w:t>
      </w:r>
      <w:r w:rsidR="00B7087B" w:rsidRPr="00E30381">
        <w:rPr>
          <w:rFonts w:cstheme="minorHAnsi"/>
          <w:sz w:val="22"/>
          <w:szCs w:val="22"/>
        </w:rPr>
        <w:t>adapted</w:t>
      </w:r>
      <w:r w:rsidRPr="00E30381">
        <w:rPr>
          <w:rFonts w:cstheme="minorHAnsi"/>
          <w:sz w:val="22"/>
          <w:szCs w:val="22"/>
        </w:rPr>
        <w:t xml:space="preserve"> approach to forecasting data centre demand due to its scale and uncertainty. Spatial resolution has also been improved, allowing for sub-regional forecasts in areas such as Adelaide and Port Augusta.</w:t>
      </w:r>
    </w:p>
    <w:p w14:paraId="459530B7" w14:textId="77777777" w:rsidR="00AA25BD" w:rsidRPr="00E30381" w:rsidRDefault="00AA25BD" w:rsidP="00E30381">
      <w:pPr>
        <w:spacing w:after="160" w:line="240" w:lineRule="auto"/>
        <w:rPr>
          <w:rFonts w:cstheme="minorHAnsi"/>
          <w:sz w:val="22"/>
          <w:szCs w:val="22"/>
        </w:rPr>
      </w:pPr>
      <w:r w:rsidRPr="00E30381">
        <w:rPr>
          <w:rFonts w:cstheme="minorHAnsi"/>
          <w:sz w:val="22"/>
          <w:szCs w:val="22"/>
        </w:rPr>
        <w:t>Forecast outcomes indicate significant operational consumption growth around 2030, largely driven by industrial expansion and data centre development. Maximum demand is projected to increase from approximately 3000 MW to over 4000 MW, with South Australia expected to remain a summer-peaking region. Annual load growth is forecast to rise by approximately 4 terawatt hours before 2030.</w:t>
      </w:r>
    </w:p>
    <w:p w14:paraId="077AAAA2" w14:textId="22B5672C" w:rsidR="00AA25BD" w:rsidRPr="00E30381" w:rsidRDefault="00AA25BD" w:rsidP="00E30381">
      <w:pPr>
        <w:spacing w:after="160" w:line="240" w:lineRule="auto"/>
        <w:rPr>
          <w:rFonts w:cstheme="minorBidi"/>
          <w:sz w:val="22"/>
          <w:szCs w:val="22"/>
        </w:rPr>
      </w:pPr>
      <w:r w:rsidRPr="00E30381">
        <w:rPr>
          <w:rFonts w:cstheme="minorBidi"/>
          <w:sz w:val="22"/>
          <w:szCs w:val="22"/>
        </w:rPr>
        <w:t>Key drivers of demand include industrial growth, electrification, electric vehicle uptake, population growth, and new residential developments. Residential demand is expected to be partially offset by improvements in energy efficiency.</w:t>
      </w:r>
    </w:p>
    <w:p w14:paraId="5EECD3BF" w14:textId="6B05D53B" w:rsidR="0004531E" w:rsidRPr="00FB4062" w:rsidRDefault="0004531E" w:rsidP="00667FD5">
      <w:pPr>
        <w:pStyle w:val="Heading2Numbered"/>
        <w:numPr>
          <w:ilvl w:val="0"/>
          <w:numId w:val="18"/>
        </w:numPr>
        <w:ind w:left="340" w:hanging="340"/>
        <w:rPr>
          <w:rFonts w:asciiTheme="minorHAnsi" w:hAnsiTheme="minorHAnsi" w:cstheme="minorHAnsi"/>
          <w:b/>
          <w:bCs/>
        </w:rPr>
      </w:pPr>
      <w:r w:rsidRPr="00FB4062">
        <w:rPr>
          <w:rFonts w:asciiTheme="minorHAnsi" w:hAnsiTheme="minorHAnsi" w:cstheme="minorHAnsi"/>
          <w:b/>
          <w:bCs/>
        </w:rPr>
        <w:t>Refence Group Updates</w:t>
      </w:r>
    </w:p>
    <w:p w14:paraId="5B5827EA" w14:textId="49D72C37" w:rsidR="00116BC7" w:rsidRDefault="00AE1CFD" w:rsidP="006915F8">
      <w:pPr>
        <w:spacing w:after="160" w:line="240" w:lineRule="auto"/>
        <w:rPr>
          <w:rFonts w:cstheme="minorBidi"/>
          <w:b/>
          <w:bCs/>
          <w:sz w:val="22"/>
          <w:szCs w:val="22"/>
        </w:rPr>
      </w:pPr>
      <w:r w:rsidRPr="1A31C004">
        <w:rPr>
          <w:rFonts w:asciiTheme="majorHAnsi" w:hAnsiTheme="majorHAnsi" w:cstheme="minorBidi"/>
          <w:color w:val="B8D0EC" w:themeColor="accent5"/>
          <w:sz w:val="24"/>
          <w:szCs w:val="24"/>
        </w:rPr>
        <w:t>5</w:t>
      </w:r>
      <w:r w:rsidR="004A471B" w:rsidRPr="1A31C004">
        <w:rPr>
          <w:rFonts w:asciiTheme="majorHAnsi" w:hAnsiTheme="majorHAnsi" w:cstheme="minorBidi"/>
          <w:color w:val="B8D0EC" w:themeColor="accent5"/>
          <w:sz w:val="24"/>
          <w:szCs w:val="24"/>
        </w:rPr>
        <w:t>..1</w:t>
      </w:r>
      <w:r w:rsidRPr="1A31C004">
        <w:rPr>
          <w:rFonts w:asciiTheme="majorHAnsi" w:hAnsiTheme="majorHAnsi" w:cstheme="minorBidi"/>
          <w:color w:val="B8D0EC" w:themeColor="accent5"/>
          <w:sz w:val="24"/>
          <w:szCs w:val="24"/>
        </w:rPr>
        <w:t xml:space="preserve"> Revenue Reset Reference Group</w:t>
      </w:r>
      <w:r w:rsidRPr="1A31C004">
        <w:rPr>
          <w:rFonts w:cstheme="minorBidi"/>
          <w:b/>
          <w:bCs/>
          <w:sz w:val="22"/>
          <w:szCs w:val="22"/>
        </w:rPr>
        <w:t xml:space="preserve"> </w:t>
      </w:r>
    </w:p>
    <w:p w14:paraId="04355B60" w14:textId="1582F0AF" w:rsidR="000C3CBE" w:rsidRPr="006915F8" w:rsidRDefault="000C3CBE" w:rsidP="006915F8">
      <w:pPr>
        <w:spacing w:after="160" w:line="240" w:lineRule="auto"/>
        <w:rPr>
          <w:rFonts w:cstheme="minorBidi"/>
          <w:sz w:val="22"/>
          <w:szCs w:val="22"/>
        </w:rPr>
      </w:pPr>
      <w:r w:rsidRPr="006915F8">
        <w:rPr>
          <w:rFonts w:cstheme="minorBidi"/>
          <w:b/>
          <w:sz w:val="22"/>
          <w:szCs w:val="22"/>
        </w:rPr>
        <w:t>Georgie Morris</w:t>
      </w:r>
      <w:r w:rsidR="009166C2" w:rsidRPr="006915F8">
        <w:rPr>
          <w:rFonts w:cstheme="minorBidi"/>
          <w:b/>
          <w:sz w:val="22"/>
          <w:szCs w:val="22"/>
        </w:rPr>
        <w:t xml:space="preserve"> (RRRG member)</w:t>
      </w:r>
      <w:r w:rsidRPr="006915F8">
        <w:rPr>
          <w:rFonts w:cstheme="minorBidi"/>
          <w:sz w:val="22"/>
          <w:szCs w:val="22"/>
        </w:rPr>
        <w:t xml:space="preserve"> provided a brief update from the recent RRRG meeting</w:t>
      </w:r>
      <w:r w:rsidR="004B7F09" w:rsidRPr="006915F8">
        <w:rPr>
          <w:rFonts w:cstheme="minorBidi"/>
          <w:sz w:val="22"/>
          <w:szCs w:val="22"/>
        </w:rPr>
        <w:t xml:space="preserve"> on 22 July</w:t>
      </w:r>
      <w:r w:rsidRPr="006915F8">
        <w:rPr>
          <w:rFonts w:cstheme="minorBidi"/>
          <w:sz w:val="22"/>
          <w:szCs w:val="22"/>
        </w:rPr>
        <w:t>, noting that engagement is progressing well in these early stages.</w:t>
      </w:r>
    </w:p>
    <w:p w14:paraId="2B95D2DA" w14:textId="506624FB" w:rsidR="625BD7DB" w:rsidRPr="006915F8" w:rsidRDefault="625BD7DB" w:rsidP="006915F8">
      <w:pPr>
        <w:spacing w:after="160" w:line="240" w:lineRule="auto"/>
        <w:rPr>
          <w:rFonts w:cstheme="minorBidi"/>
          <w:sz w:val="22"/>
          <w:szCs w:val="22"/>
        </w:rPr>
      </w:pPr>
      <w:r w:rsidRPr="006915F8">
        <w:rPr>
          <w:rFonts w:cstheme="minorBidi"/>
          <w:sz w:val="22"/>
          <w:szCs w:val="22"/>
        </w:rPr>
        <w:t>The RRRG is currently working towards delivering a report that outlines two key levels of engagement outcomes:</w:t>
      </w:r>
    </w:p>
    <w:p w14:paraId="1284C5A2" w14:textId="77777777" w:rsidR="000C3CBE" w:rsidRPr="006915F8" w:rsidRDefault="000C3CBE" w:rsidP="00CE1D52">
      <w:pPr>
        <w:numPr>
          <w:ilvl w:val="0"/>
          <w:numId w:val="24"/>
        </w:numPr>
        <w:spacing w:after="160" w:line="240" w:lineRule="auto"/>
        <w:ind w:left="714" w:hanging="357"/>
        <w:contextualSpacing/>
        <w:rPr>
          <w:rFonts w:cstheme="minorHAnsi"/>
          <w:i/>
          <w:iCs/>
          <w:sz w:val="22"/>
          <w:szCs w:val="22"/>
        </w:rPr>
      </w:pPr>
      <w:r w:rsidRPr="006915F8">
        <w:rPr>
          <w:rFonts w:cstheme="minorHAnsi"/>
          <w:i/>
          <w:iCs/>
          <w:sz w:val="22"/>
          <w:szCs w:val="22"/>
        </w:rPr>
        <w:t>Acceptable Level: The group was appropriately engaged, had access to relevant resources, and its views on ElectraNet’s Revenue Proposal are clearly outlined.</w:t>
      </w:r>
    </w:p>
    <w:p w14:paraId="0A9EA2C9" w14:textId="77777777" w:rsidR="000C3CBE" w:rsidRPr="006915F8" w:rsidRDefault="000C3CBE" w:rsidP="00CE1D52">
      <w:pPr>
        <w:numPr>
          <w:ilvl w:val="0"/>
          <w:numId w:val="24"/>
        </w:numPr>
        <w:spacing w:after="160" w:line="240" w:lineRule="auto"/>
        <w:ind w:left="714" w:hanging="357"/>
        <w:rPr>
          <w:rFonts w:cstheme="minorHAnsi"/>
          <w:i/>
          <w:iCs/>
          <w:sz w:val="22"/>
          <w:szCs w:val="22"/>
        </w:rPr>
      </w:pPr>
      <w:r w:rsidRPr="006915F8">
        <w:rPr>
          <w:rFonts w:cstheme="minorHAnsi"/>
          <w:i/>
          <w:iCs/>
          <w:sz w:val="22"/>
          <w:szCs w:val="22"/>
        </w:rPr>
        <w:t>Desired Level: The proposal is considered worthy of support and capable of acceptance by the AER.</w:t>
      </w:r>
    </w:p>
    <w:p w14:paraId="02D79EB6" w14:textId="77777777" w:rsidR="000C3CBE" w:rsidRPr="006915F8" w:rsidRDefault="000C3CBE" w:rsidP="006915F8">
      <w:pPr>
        <w:spacing w:after="160" w:line="240" w:lineRule="auto"/>
        <w:rPr>
          <w:rFonts w:cstheme="minorHAnsi"/>
          <w:sz w:val="22"/>
          <w:szCs w:val="22"/>
        </w:rPr>
      </w:pPr>
      <w:r w:rsidRPr="006915F8">
        <w:rPr>
          <w:rFonts w:cstheme="minorBidi"/>
          <w:sz w:val="22"/>
          <w:szCs w:val="22"/>
        </w:rPr>
        <w:t>Key focus areas from recent meetings:</w:t>
      </w:r>
    </w:p>
    <w:p w14:paraId="43DFF9C6" w14:textId="01201CEF" w:rsidR="46FE594A" w:rsidRPr="006915F8" w:rsidRDefault="46FE594A" w:rsidP="00CE1D52">
      <w:pPr>
        <w:numPr>
          <w:ilvl w:val="0"/>
          <w:numId w:val="25"/>
        </w:numPr>
        <w:spacing w:after="160" w:line="240" w:lineRule="auto"/>
        <w:ind w:left="714" w:hanging="357"/>
        <w:contextualSpacing/>
        <w:rPr>
          <w:rFonts w:cstheme="minorBidi"/>
          <w:sz w:val="22"/>
          <w:szCs w:val="22"/>
        </w:rPr>
      </w:pPr>
      <w:r w:rsidRPr="006915F8">
        <w:rPr>
          <w:rFonts w:cstheme="minorBidi"/>
          <w:sz w:val="22"/>
          <w:szCs w:val="22"/>
        </w:rPr>
        <w:t>Spheres of influence (bubble diagram)</w:t>
      </w:r>
    </w:p>
    <w:p w14:paraId="24F06D9B" w14:textId="77777777" w:rsidR="000C3CBE" w:rsidRPr="006915F8" w:rsidRDefault="000C3CBE" w:rsidP="00CE1D52">
      <w:pPr>
        <w:numPr>
          <w:ilvl w:val="0"/>
          <w:numId w:val="25"/>
        </w:numPr>
        <w:spacing w:after="160" w:line="240" w:lineRule="auto"/>
        <w:ind w:left="714" w:hanging="357"/>
        <w:contextualSpacing/>
        <w:rPr>
          <w:rFonts w:cstheme="minorHAnsi"/>
          <w:sz w:val="22"/>
          <w:szCs w:val="22"/>
        </w:rPr>
      </w:pPr>
      <w:r w:rsidRPr="006915F8">
        <w:rPr>
          <w:rFonts w:cstheme="minorHAnsi"/>
          <w:sz w:val="22"/>
          <w:szCs w:val="22"/>
        </w:rPr>
        <w:t>Engagement Plan development</w:t>
      </w:r>
    </w:p>
    <w:p w14:paraId="36A9A3B6" w14:textId="741670C3" w:rsidR="000C3CBE" w:rsidRPr="006915F8" w:rsidRDefault="000C3CBE" w:rsidP="00CE1D52">
      <w:pPr>
        <w:numPr>
          <w:ilvl w:val="0"/>
          <w:numId w:val="25"/>
        </w:numPr>
        <w:spacing w:after="160" w:line="240" w:lineRule="auto"/>
        <w:ind w:left="714" w:hanging="357"/>
        <w:contextualSpacing/>
        <w:rPr>
          <w:rFonts w:cstheme="minorBidi"/>
          <w:sz w:val="22"/>
          <w:szCs w:val="22"/>
        </w:rPr>
      </w:pPr>
      <w:r w:rsidRPr="1A31C004">
        <w:rPr>
          <w:rFonts w:cstheme="minorBidi"/>
          <w:sz w:val="22"/>
          <w:szCs w:val="22"/>
        </w:rPr>
        <w:t>Cap</w:t>
      </w:r>
      <w:r w:rsidR="0082458C" w:rsidRPr="1A31C004">
        <w:rPr>
          <w:rFonts w:cstheme="minorBidi"/>
          <w:sz w:val="22"/>
          <w:szCs w:val="22"/>
        </w:rPr>
        <w:t>ee</w:t>
      </w:r>
      <w:r w:rsidRPr="1A31C004">
        <w:rPr>
          <w:rFonts w:cstheme="minorBidi"/>
          <w:sz w:val="22"/>
          <w:szCs w:val="22"/>
        </w:rPr>
        <w:t>x</w:t>
      </w:r>
      <w:r w:rsidRPr="006915F8">
        <w:rPr>
          <w:rFonts w:cstheme="minorBidi"/>
          <w:sz w:val="22"/>
          <w:szCs w:val="22"/>
        </w:rPr>
        <w:t xml:space="preserve"> scoping and estimating</w:t>
      </w:r>
      <w:r w:rsidR="00AE1CFD" w:rsidRPr="006915F8">
        <w:rPr>
          <w:rFonts w:cstheme="minorBidi"/>
          <w:sz w:val="22"/>
          <w:szCs w:val="22"/>
        </w:rPr>
        <w:t xml:space="preserve"> – Brett and Kristian from ElectraNet</w:t>
      </w:r>
    </w:p>
    <w:p w14:paraId="0A709F46" w14:textId="689CE70E" w:rsidR="56FD56AE" w:rsidRPr="006915F8" w:rsidRDefault="56FD56AE" w:rsidP="00CE1D52">
      <w:pPr>
        <w:numPr>
          <w:ilvl w:val="0"/>
          <w:numId w:val="25"/>
        </w:numPr>
        <w:spacing w:after="160" w:line="240" w:lineRule="auto"/>
        <w:ind w:left="714" w:hanging="357"/>
        <w:contextualSpacing/>
        <w:rPr>
          <w:rFonts w:cstheme="minorBidi"/>
          <w:sz w:val="22"/>
          <w:szCs w:val="22"/>
        </w:rPr>
      </w:pPr>
      <w:r w:rsidRPr="006915F8">
        <w:rPr>
          <w:rFonts w:cstheme="minorBidi"/>
          <w:sz w:val="22"/>
          <w:szCs w:val="22"/>
        </w:rPr>
        <w:t>Guest speaker</w:t>
      </w:r>
      <w:r w:rsidR="28CA911C" w:rsidRPr="006915F8">
        <w:rPr>
          <w:rFonts w:cstheme="minorBidi"/>
          <w:sz w:val="22"/>
          <w:szCs w:val="22"/>
        </w:rPr>
        <w:t xml:space="preserve"> – </w:t>
      </w:r>
      <w:r w:rsidR="00CD676F">
        <w:rPr>
          <w:rFonts w:cstheme="minorBidi"/>
          <w:sz w:val="22"/>
          <w:szCs w:val="22"/>
        </w:rPr>
        <w:t>AER</w:t>
      </w:r>
      <w:r w:rsidR="00CD676F" w:rsidRPr="006915F8">
        <w:rPr>
          <w:rFonts w:cstheme="minorBidi"/>
          <w:sz w:val="22"/>
          <w:szCs w:val="22"/>
        </w:rPr>
        <w:t xml:space="preserve"> </w:t>
      </w:r>
      <w:r w:rsidR="28CA911C" w:rsidRPr="006915F8">
        <w:rPr>
          <w:rFonts w:cstheme="minorBidi"/>
          <w:sz w:val="22"/>
          <w:szCs w:val="22"/>
        </w:rPr>
        <w:t xml:space="preserve">Arek </w:t>
      </w:r>
      <w:proofErr w:type="spellStart"/>
      <w:r w:rsidR="28CA911C" w:rsidRPr="006915F8">
        <w:rPr>
          <w:rFonts w:cstheme="minorBidi"/>
          <w:sz w:val="22"/>
          <w:szCs w:val="22"/>
        </w:rPr>
        <w:t>Gulbenkoglu</w:t>
      </w:r>
      <w:proofErr w:type="spellEnd"/>
      <w:r w:rsidR="28CA911C" w:rsidRPr="006915F8">
        <w:rPr>
          <w:rFonts w:cstheme="minorBidi"/>
          <w:sz w:val="22"/>
          <w:szCs w:val="22"/>
        </w:rPr>
        <w:t xml:space="preserve"> – May Meeting </w:t>
      </w:r>
    </w:p>
    <w:p w14:paraId="24FA43C7" w14:textId="77777777" w:rsidR="000C3CBE" w:rsidRPr="006915F8" w:rsidRDefault="000C3CBE" w:rsidP="00CE1D52">
      <w:pPr>
        <w:numPr>
          <w:ilvl w:val="0"/>
          <w:numId w:val="25"/>
        </w:numPr>
        <w:spacing w:after="160" w:line="240" w:lineRule="auto"/>
        <w:ind w:left="714" w:hanging="357"/>
        <w:contextualSpacing/>
        <w:rPr>
          <w:rFonts w:cstheme="minorHAnsi"/>
          <w:sz w:val="22"/>
          <w:szCs w:val="22"/>
        </w:rPr>
      </w:pPr>
      <w:r w:rsidRPr="006915F8">
        <w:rPr>
          <w:rFonts w:cstheme="minorHAnsi"/>
          <w:sz w:val="22"/>
          <w:szCs w:val="22"/>
        </w:rPr>
        <w:t>Interface with the Consumer Challenge Panel (CCP)</w:t>
      </w:r>
    </w:p>
    <w:p w14:paraId="3006E7C9" w14:textId="29344259" w:rsidR="000C3CBE" w:rsidRPr="006915F8" w:rsidRDefault="0098082D" w:rsidP="006915F8">
      <w:pPr>
        <w:spacing w:after="160" w:line="240" w:lineRule="auto"/>
        <w:rPr>
          <w:rFonts w:cstheme="minorBidi"/>
          <w:sz w:val="22"/>
          <w:szCs w:val="22"/>
        </w:rPr>
      </w:pPr>
      <w:r w:rsidRPr="1A31C004">
        <w:rPr>
          <w:rFonts w:cstheme="minorBidi"/>
          <w:sz w:val="22"/>
          <w:szCs w:val="22"/>
        </w:rPr>
        <w:t xml:space="preserve">BBoth </w:t>
      </w:r>
      <w:r w:rsidR="00795D96" w:rsidRPr="1A31C004">
        <w:rPr>
          <w:rFonts w:cstheme="minorBidi"/>
          <w:sz w:val="22"/>
          <w:szCs w:val="22"/>
        </w:rPr>
        <w:t xml:space="preserve">ElectraNet (via the CEO) and </w:t>
      </w:r>
      <w:r w:rsidRPr="1A31C004">
        <w:rPr>
          <w:rFonts w:cstheme="minorBidi"/>
          <w:sz w:val="22"/>
          <w:szCs w:val="22"/>
        </w:rPr>
        <w:t xml:space="preserve">the </w:t>
      </w:r>
      <w:r w:rsidR="00795D96" w:rsidRPr="1A31C004">
        <w:rPr>
          <w:rFonts w:cstheme="minorBidi"/>
          <w:sz w:val="22"/>
          <w:szCs w:val="22"/>
        </w:rPr>
        <w:t xml:space="preserve">RRRG (Via the Independent Facilitator) </w:t>
      </w:r>
      <w:r w:rsidRPr="1A31C004">
        <w:rPr>
          <w:rFonts w:cstheme="minorBidi"/>
          <w:sz w:val="22"/>
          <w:szCs w:val="22"/>
        </w:rPr>
        <w:t xml:space="preserve">separately </w:t>
      </w:r>
      <w:r w:rsidR="00795D96" w:rsidRPr="1A31C004">
        <w:rPr>
          <w:rFonts w:cstheme="minorBidi"/>
          <w:sz w:val="22"/>
          <w:szCs w:val="22"/>
        </w:rPr>
        <w:t xml:space="preserve">wrote </w:t>
      </w:r>
      <w:r w:rsidR="000C3CBE" w:rsidRPr="1A31C004">
        <w:rPr>
          <w:rFonts w:cstheme="minorBidi"/>
          <w:sz w:val="22"/>
          <w:szCs w:val="22"/>
        </w:rPr>
        <w:t>to Kate Symons (AER Board Member) requesting early and ongoing engagement with the AER’s CCP for the 2028–33 regulatory reset process.</w:t>
      </w:r>
      <w:r w:rsidR="00AE1CFD" w:rsidRPr="1A31C004">
        <w:rPr>
          <w:rFonts w:cstheme="minorBidi"/>
          <w:sz w:val="22"/>
          <w:szCs w:val="22"/>
        </w:rPr>
        <w:t xml:space="preserve"> </w:t>
      </w:r>
    </w:p>
    <w:p w14:paraId="05920121" w14:textId="799689B4" w:rsidR="00842F60" w:rsidRPr="006915F8" w:rsidRDefault="00592B80" w:rsidP="006915F8">
      <w:pPr>
        <w:spacing w:after="160" w:line="240" w:lineRule="auto"/>
        <w:rPr>
          <w:rFonts w:cstheme="minorHAnsi"/>
          <w:b/>
          <w:bCs/>
          <w:sz w:val="22"/>
          <w:szCs w:val="22"/>
        </w:rPr>
      </w:pPr>
      <w:r w:rsidRPr="006915F8">
        <w:rPr>
          <w:rFonts w:cstheme="minorHAnsi"/>
          <w:b/>
          <w:bCs/>
          <w:sz w:val="22"/>
          <w:szCs w:val="22"/>
        </w:rPr>
        <w:t>Reflections</w:t>
      </w:r>
    </w:p>
    <w:p w14:paraId="573C15F4" w14:textId="77777777" w:rsidR="00592B80" w:rsidRPr="006915F8" w:rsidRDefault="00592B80" w:rsidP="006915F8">
      <w:pPr>
        <w:spacing w:after="160" w:line="240" w:lineRule="auto"/>
        <w:rPr>
          <w:rFonts w:cstheme="minorHAnsi"/>
          <w:sz w:val="22"/>
          <w:szCs w:val="22"/>
        </w:rPr>
      </w:pPr>
      <w:r w:rsidRPr="006915F8">
        <w:rPr>
          <w:rFonts w:cstheme="minorHAnsi"/>
          <w:sz w:val="22"/>
          <w:szCs w:val="22"/>
        </w:rPr>
        <w:t>ElectraNet has shown strong early-stage engagement with the RRRG. For the Revenue Proposal to be considered “capable of acceptance” by the AER, the process must demonstrate deep understanding, independent analysis, and trust.</w:t>
      </w:r>
    </w:p>
    <w:p w14:paraId="0DED5357" w14:textId="5204DBB6" w:rsidR="00592B80" w:rsidRPr="006915F8" w:rsidRDefault="00C87D15" w:rsidP="006915F8">
      <w:pPr>
        <w:spacing w:after="160" w:line="240" w:lineRule="auto"/>
        <w:rPr>
          <w:rFonts w:cstheme="minorBidi"/>
          <w:sz w:val="22"/>
          <w:szCs w:val="22"/>
        </w:rPr>
      </w:pPr>
      <w:r w:rsidRPr="006915F8">
        <w:rPr>
          <w:rFonts w:cstheme="minorBidi"/>
          <w:sz w:val="22"/>
          <w:szCs w:val="22"/>
        </w:rPr>
        <w:t>For more information refer to the RRRG slide pack</w:t>
      </w:r>
      <w:r w:rsidR="004B7F09" w:rsidRPr="006915F8">
        <w:rPr>
          <w:rFonts w:cstheme="minorBidi"/>
          <w:sz w:val="22"/>
          <w:szCs w:val="22"/>
        </w:rPr>
        <w:t xml:space="preserve"> from 22 July 2025</w:t>
      </w:r>
      <w:r w:rsidRPr="006915F8">
        <w:rPr>
          <w:rFonts w:cstheme="minorBidi"/>
          <w:sz w:val="22"/>
          <w:szCs w:val="22"/>
        </w:rPr>
        <w:t xml:space="preserve">. </w:t>
      </w:r>
    </w:p>
    <w:p w14:paraId="73D6146C" w14:textId="61E40371" w:rsidR="00D44EB6" w:rsidRDefault="00AE1CFD" w:rsidP="00D44EB6">
      <w:pPr>
        <w:spacing w:after="160" w:line="240" w:lineRule="auto"/>
        <w:rPr>
          <w:rFonts w:cstheme="minorBidi"/>
          <w:b/>
          <w:bCs/>
          <w:sz w:val="22"/>
          <w:szCs w:val="22"/>
        </w:rPr>
      </w:pPr>
      <w:r w:rsidRPr="1A31C004">
        <w:rPr>
          <w:rFonts w:asciiTheme="majorHAnsi" w:hAnsiTheme="majorHAnsi" w:cstheme="minorBidi"/>
          <w:color w:val="B8D0EC" w:themeColor="accent5"/>
          <w:sz w:val="24"/>
          <w:szCs w:val="24"/>
        </w:rPr>
        <w:t>5</w:t>
      </w:r>
      <w:r w:rsidR="00D44EB6" w:rsidRPr="1A31C004">
        <w:rPr>
          <w:rFonts w:asciiTheme="majorHAnsi" w:hAnsiTheme="majorHAnsi" w:cstheme="minorBidi"/>
          <w:color w:val="B8D0EC" w:themeColor="accent5"/>
          <w:sz w:val="24"/>
          <w:szCs w:val="24"/>
        </w:rPr>
        <w:t>..2</w:t>
      </w:r>
      <w:r w:rsidRPr="1A31C004">
        <w:rPr>
          <w:rFonts w:asciiTheme="majorHAnsi" w:hAnsiTheme="majorHAnsi" w:cstheme="minorBidi"/>
          <w:color w:val="B8D0EC" w:themeColor="accent5"/>
          <w:sz w:val="24"/>
          <w:szCs w:val="24"/>
        </w:rPr>
        <w:t xml:space="preserve"> Northern Transmission Project (NTx) Reference Group </w:t>
      </w:r>
      <w:r w:rsidR="009166C2" w:rsidRPr="1A31C004">
        <w:rPr>
          <w:rFonts w:asciiTheme="majorHAnsi" w:hAnsiTheme="majorHAnsi" w:cstheme="minorBidi"/>
          <w:color w:val="B8D0EC" w:themeColor="accent5"/>
          <w:sz w:val="24"/>
          <w:szCs w:val="24"/>
        </w:rPr>
        <w:t>(NTx RG)</w:t>
      </w:r>
    </w:p>
    <w:p w14:paraId="34803A51" w14:textId="405ABB73" w:rsidR="004C5EC1" w:rsidRPr="00236F10" w:rsidRDefault="004C5EC1" w:rsidP="00236F10">
      <w:pPr>
        <w:spacing w:after="160" w:line="240" w:lineRule="auto"/>
        <w:rPr>
          <w:rFonts w:asciiTheme="majorHAnsi" w:hAnsiTheme="majorHAnsi" w:cstheme="minorHAnsi"/>
          <w:color w:val="B8D0EC" w:themeColor="accent5"/>
          <w:sz w:val="24"/>
          <w:szCs w:val="24"/>
        </w:rPr>
      </w:pPr>
      <w:r w:rsidRPr="006915F8">
        <w:rPr>
          <w:rFonts w:cstheme="minorHAnsi"/>
          <w:b/>
          <w:bCs/>
          <w:sz w:val="22"/>
          <w:szCs w:val="22"/>
        </w:rPr>
        <w:t xml:space="preserve">Craig Wilkins </w:t>
      </w:r>
      <w:r w:rsidR="009166C2" w:rsidRPr="006915F8">
        <w:rPr>
          <w:rFonts w:cstheme="minorHAnsi"/>
          <w:b/>
          <w:bCs/>
          <w:sz w:val="22"/>
          <w:szCs w:val="22"/>
        </w:rPr>
        <w:t xml:space="preserve">(NTx RG member) </w:t>
      </w:r>
      <w:r w:rsidRPr="006915F8">
        <w:rPr>
          <w:rFonts w:cstheme="minorHAnsi"/>
          <w:sz w:val="22"/>
          <w:szCs w:val="22"/>
        </w:rPr>
        <w:t xml:space="preserve">provided an update </w:t>
      </w:r>
      <w:r w:rsidR="0065068C" w:rsidRPr="006915F8">
        <w:rPr>
          <w:rFonts w:cstheme="minorHAnsi"/>
          <w:sz w:val="22"/>
          <w:szCs w:val="22"/>
        </w:rPr>
        <w:t xml:space="preserve">from the </w:t>
      </w:r>
      <w:r w:rsidR="00E96F95" w:rsidRPr="006915F8">
        <w:rPr>
          <w:rFonts w:cstheme="minorHAnsi"/>
          <w:sz w:val="22"/>
          <w:szCs w:val="22"/>
        </w:rPr>
        <w:t>meeting held</w:t>
      </w:r>
      <w:r w:rsidR="0065068C" w:rsidRPr="006915F8">
        <w:rPr>
          <w:rFonts w:cstheme="minorHAnsi"/>
          <w:sz w:val="22"/>
          <w:szCs w:val="22"/>
        </w:rPr>
        <w:t xml:space="preserve"> </w:t>
      </w:r>
      <w:r w:rsidRPr="006915F8">
        <w:rPr>
          <w:rFonts w:cstheme="minorHAnsi"/>
          <w:sz w:val="22"/>
          <w:szCs w:val="22"/>
        </w:rPr>
        <w:t xml:space="preserve">on </w:t>
      </w:r>
      <w:r w:rsidR="00FE391A" w:rsidRPr="006915F8">
        <w:rPr>
          <w:rFonts w:cstheme="minorHAnsi"/>
          <w:sz w:val="22"/>
          <w:szCs w:val="22"/>
        </w:rPr>
        <w:t>14 August</w:t>
      </w:r>
      <w:r w:rsidR="00E96F95" w:rsidRPr="006915F8">
        <w:rPr>
          <w:rFonts w:cstheme="minorHAnsi"/>
          <w:sz w:val="22"/>
          <w:szCs w:val="22"/>
        </w:rPr>
        <w:t>. Craig reported on</w:t>
      </w:r>
      <w:r w:rsidR="00FE391A" w:rsidRPr="006915F8">
        <w:rPr>
          <w:rFonts w:cstheme="minorHAnsi"/>
          <w:sz w:val="22"/>
          <w:szCs w:val="22"/>
        </w:rPr>
        <w:t xml:space="preserve"> </w:t>
      </w:r>
      <w:r w:rsidRPr="006915F8">
        <w:rPr>
          <w:rFonts w:cstheme="minorHAnsi"/>
          <w:sz w:val="22"/>
          <w:szCs w:val="22"/>
        </w:rPr>
        <w:t xml:space="preserve">the </w:t>
      </w:r>
      <w:r w:rsidR="00E96F95" w:rsidRPr="006915F8">
        <w:rPr>
          <w:rFonts w:cstheme="minorHAnsi"/>
          <w:sz w:val="22"/>
          <w:szCs w:val="22"/>
        </w:rPr>
        <w:t>group’s</w:t>
      </w:r>
      <w:r w:rsidRPr="006915F8">
        <w:rPr>
          <w:rFonts w:cstheme="minorHAnsi"/>
          <w:sz w:val="22"/>
          <w:szCs w:val="22"/>
        </w:rPr>
        <w:t xml:space="preserve"> progress toward the</w:t>
      </w:r>
      <w:r w:rsidR="00E96F95" w:rsidRPr="006915F8">
        <w:rPr>
          <w:rFonts w:cstheme="minorHAnsi"/>
          <w:sz w:val="22"/>
          <w:szCs w:val="22"/>
        </w:rPr>
        <w:t xml:space="preserve"> </w:t>
      </w:r>
      <w:r w:rsidRPr="006915F8">
        <w:rPr>
          <w:rFonts w:cstheme="minorHAnsi"/>
          <w:sz w:val="22"/>
          <w:szCs w:val="22"/>
        </w:rPr>
        <w:t xml:space="preserve">Project Assessment Draft Report (PADR), </w:t>
      </w:r>
      <w:r w:rsidR="00E96F95" w:rsidRPr="006915F8">
        <w:rPr>
          <w:rFonts w:cstheme="minorHAnsi"/>
          <w:sz w:val="22"/>
          <w:szCs w:val="22"/>
        </w:rPr>
        <w:t>which is scheduled for release</w:t>
      </w:r>
      <w:r w:rsidRPr="006915F8">
        <w:rPr>
          <w:rFonts w:cstheme="minorHAnsi"/>
          <w:sz w:val="22"/>
          <w:szCs w:val="22"/>
        </w:rPr>
        <w:t xml:space="preserve"> in</w:t>
      </w:r>
      <w:r w:rsidR="00E96F95" w:rsidRPr="006915F8">
        <w:rPr>
          <w:rFonts w:cstheme="minorHAnsi"/>
          <w:sz w:val="22"/>
          <w:szCs w:val="22"/>
        </w:rPr>
        <w:t xml:space="preserve"> </w:t>
      </w:r>
      <w:r w:rsidRPr="006915F8">
        <w:rPr>
          <w:rFonts w:cstheme="minorHAnsi"/>
          <w:sz w:val="22"/>
          <w:szCs w:val="22"/>
        </w:rPr>
        <w:t>December 2025.</w:t>
      </w:r>
    </w:p>
    <w:p w14:paraId="340C0B8B" w14:textId="790042C1" w:rsidR="004C5EC1" w:rsidRPr="006915F8" w:rsidRDefault="004C5EC1" w:rsidP="006915F8">
      <w:pPr>
        <w:spacing w:after="160" w:line="240" w:lineRule="auto"/>
        <w:rPr>
          <w:rFonts w:cstheme="minorHAnsi"/>
          <w:sz w:val="22"/>
          <w:szCs w:val="22"/>
        </w:rPr>
      </w:pPr>
      <w:r w:rsidRPr="006915F8">
        <w:rPr>
          <w:rFonts w:cstheme="minorHAnsi"/>
          <w:sz w:val="22"/>
          <w:szCs w:val="22"/>
        </w:rPr>
        <w:t>Key agenda items from the recent meeting:</w:t>
      </w:r>
    </w:p>
    <w:p w14:paraId="7F052507" w14:textId="4FD09F18" w:rsidR="004C5EC1" w:rsidRPr="006915F8" w:rsidRDefault="004C5EC1" w:rsidP="00236F10">
      <w:pPr>
        <w:numPr>
          <w:ilvl w:val="0"/>
          <w:numId w:val="27"/>
        </w:numPr>
        <w:spacing w:after="160" w:line="240" w:lineRule="auto"/>
        <w:ind w:left="714" w:hanging="357"/>
        <w:contextualSpacing/>
        <w:rPr>
          <w:rFonts w:cstheme="minorHAnsi"/>
          <w:sz w:val="22"/>
          <w:szCs w:val="22"/>
        </w:rPr>
      </w:pPr>
      <w:r w:rsidRPr="006915F8">
        <w:rPr>
          <w:rFonts w:cstheme="minorHAnsi"/>
          <w:sz w:val="22"/>
          <w:szCs w:val="22"/>
        </w:rPr>
        <w:t>The SA Government’s 20-Year Infrastructure Plan (presented by Jeremy Conway, CEO Infrastructure SA)</w:t>
      </w:r>
    </w:p>
    <w:p w14:paraId="036A7402" w14:textId="77777777" w:rsidR="004C5EC1" w:rsidRPr="006915F8" w:rsidRDefault="004C5EC1" w:rsidP="008E44F3">
      <w:pPr>
        <w:numPr>
          <w:ilvl w:val="0"/>
          <w:numId w:val="27"/>
        </w:numPr>
        <w:spacing w:after="160" w:line="240" w:lineRule="auto"/>
        <w:ind w:left="714" w:hanging="357"/>
        <w:contextualSpacing/>
        <w:rPr>
          <w:rFonts w:cstheme="minorHAnsi"/>
          <w:sz w:val="22"/>
          <w:szCs w:val="22"/>
        </w:rPr>
      </w:pPr>
      <w:r w:rsidRPr="006915F8">
        <w:rPr>
          <w:rFonts w:cstheme="minorHAnsi"/>
          <w:sz w:val="22"/>
          <w:szCs w:val="22"/>
        </w:rPr>
        <w:t>Community benefits and engagement</w:t>
      </w:r>
    </w:p>
    <w:p w14:paraId="25F12AF3" w14:textId="77777777" w:rsidR="004C5EC1" w:rsidRPr="006915F8" w:rsidRDefault="004C5EC1" w:rsidP="00CE1D52">
      <w:pPr>
        <w:numPr>
          <w:ilvl w:val="0"/>
          <w:numId w:val="27"/>
        </w:numPr>
        <w:spacing w:after="160" w:line="240" w:lineRule="auto"/>
        <w:ind w:left="714" w:hanging="357"/>
        <w:rPr>
          <w:rFonts w:cstheme="minorHAnsi"/>
          <w:sz w:val="22"/>
          <w:szCs w:val="22"/>
        </w:rPr>
      </w:pPr>
      <w:r w:rsidRPr="006915F8">
        <w:rPr>
          <w:rFonts w:cstheme="minorHAnsi"/>
          <w:sz w:val="22"/>
          <w:szCs w:val="22"/>
        </w:rPr>
        <w:t>Multi-Criteria Assessment (MCA) for corridor selection</w:t>
      </w:r>
    </w:p>
    <w:p w14:paraId="300964ED" w14:textId="77777777" w:rsidR="004C5EC1" w:rsidRPr="006915F8" w:rsidRDefault="004C5EC1" w:rsidP="006915F8">
      <w:pPr>
        <w:spacing w:after="160" w:line="240" w:lineRule="auto"/>
        <w:rPr>
          <w:rFonts w:cstheme="minorHAnsi"/>
          <w:sz w:val="22"/>
          <w:szCs w:val="22"/>
        </w:rPr>
      </w:pPr>
      <w:r w:rsidRPr="006915F8">
        <w:rPr>
          <w:rFonts w:cstheme="minorHAnsi"/>
          <w:sz w:val="22"/>
          <w:szCs w:val="22"/>
        </w:rPr>
        <w:t>A preferred corridor has been identified in the Northern section, with letters sent to landholders for on-ground investigations. In the Southern section, further engagement is underway across four corridors, with one corridor already closed. No final corridor has been selected for the South yet.</w:t>
      </w:r>
    </w:p>
    <w:p w14:paraId="737197DC" w14:textId="77777777" w:rsidR="004C5EC1" w:rsidRPr="006915F8" w:rsidRDefault="004C5EC1" w:rsidP="006915F8">
      <w:pPr>
        <w:spacing w:after="160" w:line="240" w:lineRule="auto"/>
        <w:rPr>
          <w:rFonts w:cstheme="minorHAnsi"/>
          <w:sz w:val="22"/>
          <w:szCs w:val="22"/>
        </w:rPr>
      </w:pPr>
      <w:r w:rsidRPr="006915F8">
        <w:rPr>
          <w:rFonts w:cstheme="minorHAnsi"/>
          <w:sz w:val="22"/>
          <w:szCs w:val="22"/>
        </w:rPr>
        <w:t>The MCA process involved stakeholder workshops across three regions, resulting in 13 corridor options:</w:t>
      </w:r>
    </w:p>
    <w:p w14:paraId="67DBC2DD" w14:textId="6EEBE4E8" w:rsidR="004C5EC1" w:rsidRPr="006915F8" w:rsidRDefault="006975E1" w:rsidP="008E44F3">
      <w:pPr>
        <w:numPr>
          <w:ilvl w:val="0"/>
          <w:numId w:val="28"/>
        </w:numPr>
        <w:spacing w:after="160" w:line="240" w:lineRule="auto"/>
        <w:ind w:left="714" w:hanging="357"/>
        <w:contextualSpacing/>
        <w:rPr>
          <w:rFonts w:cstheme="minorHAnsi"/>
          <w:sz w:val="22"/>
          <w:szCs w:val="22"/>
        </w:rPr>
      </w:pPr>
      <w:r w:rsidRPr="006915F8">
        <w:rPr>
          <w:rFonts w:cstheme="minorHAnsi"/>
          <w:sz w:val="22"/>
          <w:szCs w:val="22"/>
        </w:rPr>
        <w:t>four</w:t>
      </w:r>
      <w:r w:rsidR="004C5EC1" w:rsidRPr="006915F8">
        <w:rPr>
          <w:rFonts w:cstheme="minorHAnsi"/>
          <w:sz w:val="22"/>
          <w:szCs w:val="22"/>
        </w:rPr>
        <w:t xml:space="preserve"> in the Flinders/Upper Spencer Gulf</w:t>
      </w:r>
    </w:p>
    <w:p w14:paraId="74CF8082" w14:textId="50CFDF82" w:rsidR="004C5EC1" w:rsidRPr="006915F8" w:rsidRDefault="006975E1" w:rsidP="008E44F3">
      <w:pPr>
        <w:numPr>
          <w:ilvl w:val="0"/>
          <w:numId w:val="28"/>
        </w:numPr>
        <w:spacing w:after="160" w:line="240" w:lineRule="auto"/>
        <w:ind w:left="714" w:hanging="357"/>
        <w:contextualSpacing/>
        <w:rPr>
          <w:rFonts w:cstheme="minorHAnsi"/>
          <w:sz w:val="22"/>
          <w:szCs w:val="22"/>
        </w:rPr>
      </w:pPr>
      <w:r w:rsidRPr="006915F8">
        <w:rPr>
          <w:rFonts w:cstheme="minorHAnsi"/>
          <w:sz w:val="22"/>
          <w:szCs w:val="22"/>
        </w:rPr>
        <w:t>six</w:t>
      </w:r>
      <w:r w:rsidR="004C5EC1" w:rsidRPr="006915F8">
        <w:rPr>
          <w:rFonts w:cstheme="minorHAnsi"/>
          <w:sz w:val="22"/>
          <w:szCs w:val="22"/>
        </w:rPr>
        <w:t xml:space="preserve"> in the Mid North</w:t>
      </w:r>
    </w:p>
    <w:p w14:paraId="5781EE77" w14:textId="1CA6F8FB" w:rsidR="004C5EC1" w:rsidRPr="006915F8" w:rsidRDefault="006975E1" w:rsidP="00CE1D52">
      <w:pPr>
        <w:numPr>
          <w:ilvl w:val="0"/>
          <w:numId w:val="28"/>
        </w:numPr>
        <w:spacing w:after="160" w:line="240" w:lineRule="auto"/>
        <w:ind w:left="714" w:hanging="357"/>
        <w:rPr>
          <w:rFonts w:cstheme="minorHAnsi"/>
          <w:sz w:val="22"/>
          <w:szCs w:val="22"/>
        </w:rPr>
      </w:pPr>
      <w:r w:rsidRPr="006915F8">
        <w:rPr>
          <w:rFonts w:cstheme="minorHAnsi"/>
          <w:sz w:val="22"/>
          <w:szCs w:val="22"/>
        </w:rPr>
        <w:t>three</w:t>
      </w:r>
      <w:r w:rsidR="004C5EC1" w:rsidRPr="006915F8">
        <w:rPr>
          <w:rFonts w:cstheme="minorHAnsi"/>
          <w:sz w:val="22"/>
          <w:szCs w:val="22"/>
        </w:rPr>
        <w:t xml:space="preserve"> in Greater Adelaide</w:t>
      </w:r>
    </w:p>
    <w:p w14:paraId="2EA63328" w14:textId="77777777" w:rsidR="004C5EC1" w:rsidRPr="006915F8" w:rsidRDefault="004C5EC1" w:rsidP="006915F8">
      <w:pPr>
        <w:spacing w:after="160" w:line="240" w:lineRule="auto"/>
        <w:rPr>
          <w:rFonts w:cstheme="minorHAnsi"/>
          <w:sz w:val="22"/>
          <w:szCs w:val="22"/>
        </w:rPr>
      </w:pPr>
      <w:r w:rsidRPr="006915F8">
        <w:rPr>
          <w:rFonts w:cstheme="minorHAnsi"/>
          <w:sz w:val="22"/>
          <w:szCs w:val="22"/>
        </w:rPr>
        <w:t>Engagement tools include:</w:t>
      </w:r>
    </w:p>
    <w:p w14:paraId="39055CE6" w14:textId="77777777" w:rsidR="004C5EC1" w:rsidRPr="006915F8" w:rsidRDefault="004C5EC1" w:rsidP="00CE1D52">
      <w:pPr>
        <w:numPr>
          <w:ilvl w:val="0"/>
          <w:numId w:val="29"/>
        </w:numPr>
        <w:spacing w:after="160" w:line="240" w:lineRule="auto"/>
        <w:ind w:left="714" w:hanging="357"/>
        <w:contextualSpacing/>
        <w:rPr>
          <w:rFonts w:cstheme="minorHAnsi"/>
          <w:sz w:val="22"/>
          <w:szCs w:val="22"/>
        </w:rPr>
      </w:pPr>
      <w:r w:rsidRPr="006915F8">
        <w:rPr>
          <w:rFonts w:cstheme="minorHAnsi"/>
          <w:sz w:val="22"/>
          <w:szCs w:val="22"/>
        </w:rPr>
        <w:t>Online surveys</w:t>
      </w:r>
    </w:p>
    <w:p w14:paraId="1DC9B574" w14:textId="77777777" w:rsidR="004C5EC1" w:rsidRPr="006915F8" w:rsidRDefault="004C5EC1" w:rsidP="00CE1D52">
      <w:pPr>
        <w:numPr>
          <w:ilvl w:val="0"/>
          <w:numId w:val="29"/>
        </w:numPr>
        <w:spacing w:after="160" w:line="240" w:lineRule="auto"/>
        <w:ind w:left="714" w:hanging="357"/>
        <w:contextualSpacing/>
        <w:rPr>
          <w:rFonts w:cstheme="minorHAnsi"/>
          <w:sz w:val="22"/>
          <w:szCs w:val="22"/>
        </w:rPr>
      </w:pPr>
      <w:r w:rsidRPr="006915F8">
        <w:rPr>
          <w:rFonts w:cstheme="minorHAnsi"/>
          <w:sz w:val="22"/>
          <w:szCs w:val="22"/>
        </w:rPr>
        <w:t>Interactive maps</w:t>
      </w:r>
    </w:p>
    <w:p w14:paraId="5E42EB12" w14:textId="77777777" w:rsidR="004C5EC1" w:rsidRPr="006915F8" w:rsidRDefault="004C5EC1" w:rsidP="00CE1D52">
      <w:pPr>
        <w:numPr>
          <w:ilvl w:val="0"/>
          <w:numId w:val="29"/>
        </w:numPr>
        <w:spacing w:after="160" w:line="240" w:lineRule="auto"/>
        <w:ind w:left="714" w:hanging="357"/>
        <w:rPr>
          <w:rFonts w:cstheme="minorHAnsi"/>
          <w:sz w:val="22"/>
          <w:szCs w:val="22"/>
        </w:rPr>
      </w:pPr>
      <w:r w:rsidRPr="006915F8">
        <w:rPr>
          <w:rFonts w:cstheme="minorHAnsi"/>
          <w:sz w:val="22"/>
          <w:szCs w:val="22"/>
        </w:rPr>
        <w:t>Local pop-ups and information sessions</w:t>
      </w:r>
    </w:p>
    <w:p w14:paraId="54D0CB9F" w14:textId="456FB8D2" w:rsidR="00C87D15" w:rsidRDefault="00C87D15" w:rsidP="006915F8">
      <w:pPr>
        <w:spacing w:after="160" w:line="240" w:lineRule="auto"/>
        <w:rPr>
          <w:rFonts w:cstheme="minorHAnsi"/>
          <w:sz w:val="22"/>
          <w:szCs w:val="22"/>
        </w:rPr>
      </w:pPr>
      <w:r w:rsidRPr="006915F8">
        <w:rPr>
          <w:rFonts w:cstheme="minorHAnsi"/>
          <w:sz w:val="22"/>
          <w:szCs w:val="22"/>
        </w:rPr>
        <w:t xml:space="preserve">For more </w:t>
      </w:r>
      <w:r w:rsidR="00BC6695" w:rsidRPr="006915F8">
        <w:rPr>
          <w:rFonts w:cstheme="minorHAnsi"/>
          <w:sz w:val="22"/>
          <w:szCs w:val="22"/>
        </w:rPr>
        <w:t>information,</w:t>
      </w:r>
      <w:r w:rsidRPr="006915F8">
        <w:rPr>
          <w:rFonts w:cstheme="minorHAnsi"/>
          <w:sz w:val="22"/>
          <w:szCs w:val="22"/>
        </w:rPr>
        <w:t xml:space="preserve"> please refer to the NTx slide pack.</w:t>
      </w:r>
    </w:p>
    <w:p w14:paraId="72C053A2" w14:textId="77777777" w:rsidR="00CE1D52" w:rsidRPr="006915F8" w:rsidRDefault="00CE1D52" w:rsidP="006915F8">
      <w:pPr>
        <w:spacing w:after="160" w:line="240" w:lineRule="auto"/>
        <w:rPr>
          <w:rFonts w:cstheme="minorHAnsi"/>
          <w:sz w:val="22"/>
          <w:szCs w:val="22"/>
        </w:rPr>
      </w:pPr>
    </w:p>
    <w:p w14:paraId="65895EFB" w14:textId="2240721B" w:rsidR="00723607" w:rsidRPr="005F36E3" w:rsidRDefault="00723607" w:rsidP="00667FD5">
      <w:pPr>
        <w:pStyle w:val="Heading2Numbered"/>
        <w:numPr>
          <w:ilvl w:val="0"/>
          <w:numId w:val="22"/>
        </w:numPr>
        <w:rPr>
          <w:rFonts w:asciiTheme="minorHAnsi" w:hAnsiTheme="minorHAnsi" w:cstheme="minorHAnsi"/>
          <w:b/>
          <w:bCs/>
        </w:rPr>
      </w:pPr>
      <w:r w:rsidRPr="005F36E3">
        <w:rPr>
          <w:rFonts w:asciiTheme="minorHAnsi" w:hAnsiTheme="minorHAnsi" w:cstheme="minorHAnsi"/>
          <w:b/>
          <w:bCs/>
        </w:rPr>
        <w:t xml:space="preserve">ElectraNet’s capital expenditure program </w:t>
      </w:r>
    </w:p>
    <w:p w14:paraId="3F518880" w14:textId="6F423E11" w:rsidR="00B4750A" w:rsidRPr="006915F8" w:rsidRDefault="00955B23" w:rsidP="006915F8">
      <w:pPr>
        <w:spacing w:after="160" w:line="240" w:lineRule="auto"/>
        <w:rPr>
          <w:rFonts w:cstheme="minorHAnsi"/>
          <w:sz w:val="22"/>
          <w:szCs w:val="22"/>
        </w:rPr>
      </w:pPr>
      <w:r w:rsidRPr="006915F8">
        <w:rPr>
          <w:rFonts w:cstheme="minorHAnsi"/>
          <w:sz w:val="22"/>
          <w:szCs w:val="22"/>
        </w:rPr>
        <w:t xml:space="preserve">Sonya Battersby </w:t>
      </w:r>
      <w:r w:rsidR="009D1F74">
        <w:rPr>
          <w:rFonts w:cstheme="minorHAnsi"/>
          <w:sz w:val="22"/>
          <w:szCs w:val="22"/>
        </w:rPr>
        <w:t>(</w:t>
      </w:r>
      <w:r w:rsidR="009D1F74" w:rsidRPr="009D1F74">
        <w:rPr>
          <w:rFonts w:cstheme="minorHAnsi"/>
          <w:sz w:val="22"/>
          <w:szCs w:val="22"/>
        </w:rPr>
        <w:t>Head of Financial Planning and Performance</w:t>
      </w:r>
      <w:r w:rsidR="009D1F74">
        <w:rPr>
          <w:rFonts w:cstheme="minorHAnsi"/>
          <w:sz w:val="22"/>
          <w:szCs w:val="22"/>
        </w:rPr>
        <w:t xml:space="preserve">, ElectraNet) </w:t>
      </w:r>
      <w:r w:rsidRPr="006915F8">
        <w:rPr>
          <w:rFonts w:cstheme="minorHAnsi"/>
          <w:sz w:val="22"/>
          <w:szCs w:val="22"/>
        </w:rPr>
        <w:t>and Rohan Fernandez</w:t>
      </w:r>
      <w:r w:rsidR="00B4750A" w:rsidRPr="006915F8">
        <w:rPr>
          <w:rFonts w:cstheme="minorHAnsi"/>
          <w:sz w:val="22"/>
          <w:szCs w:val="22"/>
        </w:rPr>
        <w:t xml:space="preserve"> </w:t>
      </w:r>
      <w:r w:rsidR="009166C2" w:rsidRPr="006915F8">
        <w:rPr>
          <w:rFonts w:cstheme="minorHAnsi"/>
          <w:sz w:val="22"/>
          <w:szCs w:val="22"/>
        </w:rPr>
        <w:t>(</w:t>
      </w:r>
      <w:r w:rsidR="00124247" w:rsidRPr="00124247">
        <w:rPr>
          <w:rFonts w:cstheme="minorHAnsi"/>
          <w:sz w:val="22"/>
          <w:szCs w:val="22"/>
        </w:rPr>
        <w:t>Manager Asset Management Portfolio &amp; Systems</w:t>
      </w:r>
      <w:r w:rsidR="00124247">
        <w:rPr>
          <w:rFonts w:cstheme="minorHAnsi"/>
          <w:sz w:val="22"/>
          <w:szCs w:val="22"/>
        </w:rPr>
        <w:t xml:space="preserve">, </w:t>
      </w:r>
      <w:r w:rsidR="009166C2" w:rsidRPr="006915F8">
        <w:rPr>
          <w:rFonts w:cstheme="minorHAnsi"/>
          <w:sz w:val="22"/>
          <w:szCs w:val="22"/>
        </w:rPr>
        <w:t>ElectraNet)</w:t>
      </w:r>
      <w:r w:rsidRPr="006915F8">
        <w:rPr>
          <w:rFonts w:cstheme="minorHAnsi"/>
          <w:sz w:val="22"/>
          <w:szCs w:val="22"/>
        </w:rPr>
        <w:t xml:space="preserve"> </w:t>
      </w:r>
      <w:r w:rsidR="009166C2" w:rsidRPr="006915F8">
        <w:rPr>
          <w:rFonts w:cstheme="minorHAnsi"/>
          <w:sz w:val="22"/>
          <w:szCs w:val="22"/>
        </w:rPr>
        <w:t>provided a presentation on ElectraNet’s capital expenditure</w:t>
      </w:r>
      <w:r w:rsidR="00C82F7F">
        <w:rPr>
          <w:rFonts w:cstheme="minorHAnsi"/>
          <w:sz w:val="22"/>
          <w:szCs w:val="22"/>
        </w:rPr>
        <w:t xml:space="preserve"> program</w:t>
      </w:r>
      <w:r w:rsidR="009166C2" w:rsidRPr="006915F8">
        <w:rPr>
          <w:rFonts w:cstheme="minorHAnsi"/>
          <w:sz w:val="22"/>
          <w:szCs w:val="22"/>
        </w:rPr>
        <w:t xml:space="preserve">. </w:t>
      </w:r>
      <w:r w:rsidR="009166C2" w:rsidRPr="006915F8">
        <w:rPr>
          <w:rFonts w:cstheme="minorBidi"/>
          <w:sz w:val="22"/>
          <w:szCs w:val="22"/>
        </w:rPr>
        <w:t>This discussion directly informs the CAP’s agenda item regarding large capital cost increases and significant delays in new transmission projects</w:t>
      </w:r>
      <w:r w:rsidR="009166C2" w:rsidRPr="006915F8">
        <w:rPr>
          <w:rFonts w:cstheme="minorHAnsi"/>
          <w:sz w:val="22"/>
          <w:szCs w:val="22"/>
        </w:rPr>
        <w:t xml:space="preserve"> </w:t>
      </w:r>
    </w:p>
    <w:p w14:paraId="33B4FA38" w14:textId="72BEEA9A" w:rsidR="00955B23" w:rsidRPr="006915F8" w:rsidRDefault="00B4750A" w:rsidP="006915F8">
      <w:pPr>
        <w:spacing w:after="160" w:line="240" w:lineRule="auto"/>
        <w:rPr>
          <w:rFonts w:cstheme="minorHAnsi"/>
          <w:sz w:val="22"/>
          <w:szCs w:val="22"/>
        </w:rPr>
      </w:pPr>
      <w:r w:rsidRPr="006915F8">
        <w:rPr>
          <w:rFonts w:cstheme="minorHAnsi"/>
          <w:sz w:val="22"/>
          <w:szCs w:val="22"/>
        </w:rPr>
        <w:t xml:space="preserve">The presentation began with an update on the capital expenditure program, highlighting a projected $104 million (13%) overspend compared to the AER allowance.  </w:t>
      </w:r>
      <w:r w:rsidR="00955B23" w:rsidRPr="006915F8">
        <w:rPr>
          <w:rFonts w:cstheme="minorHAnsi"/>
          <w:sz w:val="22"/>
          <w:szCs w:val="22"/>
        </w:rPr>
        <w:t xml:space="preserve">This </w:t>
      </w:r>
      <w:r w:rsidR="009166C2" w:rsidRPr="006915F8">
        <w:rPr>
          <w:rFonts w:cstheme="minorHAnsi"/>
          <w:sz w:val="22"/>
          <w:szCs w:val="22"/>
        </w:rPr>
        <w:t xml:space="preserve">anticipated forecast overspend </w:t>
      </w:r>
      <w:r w:rsidR="00955B23" w:rsidRPr="006915F8">
        <w:rPr>
          <w:rFonts w:cstheme="minorHAnsi"/>
          <w:sz w:val="22"/>
          <w:szCs w:val="22"/>
        </w:rPr>
        <w:t xml:space="preserve">is primarily </w:t>
      </w:r>
      <w:r w:rsidRPr="006915F8">
        <w:rPr>
          <w:rFonts w:cstheme="minorHAnsi"/>
          <w:sz w:val="22"/>
          <w:szCs w:val="22"/>
        </w:rPr>
        <w:t xml:space="preserve">attributed </w:t>
      </w:r>
      <w:r w:rsidR="00955B23" w:rsidRPr="006915F8">
        <w:rPr>
          <w:rFonts w:cstheme="minorHAnsi"/>
          <w:sz w:val="22"/>
          <w:szCs w:val="22"/>
        </w:rPr>
        <w:t>to</w:t>
      </w:r>
      <w:r w:rsidRPr="006915F8">
        <w:rPr>
          <w:rFonts w:cstheme="minorHAnsi"/>
          <w:sz w:val="22"/>
          <w:szCs w:val="22"/>
        </w:rPr>
        <w:t xml:space="preserve"> ElectraNet’s</w:t>
      </w:r>
      <w:r w:rsidR="00955B23" w:rsidRPr="006915F8">
        <w:rPr>
          <w:rFonts w:cstheme="minorHAnsi"/>
          <w:sz w:val="22"/>
          <w:szCs w:val="22"/>
        </w:rPr>
        <w:t xml:space="preserve"> emergency replacements, scope increases in major projects like the Northfield Substation, and cost escalations exceeding CPI, compounded by global supply chain constraints. Additional pressure stems from carryover work from the previous regulatory period.</w:t>
      </w:r>
    </w:p>
    <w:p w14:paraId="6C1D2B35" w14:textId="26FE7277" w:rsidR="00955B23" w:rsidRPr="006915F8" w:rsidRDefault="00955B23" w:rsidP="006915F8">
      <w:pPr>
        <w:spacing w:after="160" w:line="240" w:lineRule="auto"/>
        <w:rPr>
          <w:rFonts w:cstheme="minorBidi"/>
          <w:sz w:val="22"/>
          <w:szCs w:val="22"/>
        </w:rPr>
      </w:pPr>
      <w:r w:rsidRPr="006915F8">
        <w:rPr>
          <w:rFonts w:cstheme="minorBidi"/>
          <w:sz w:val="22"/>
          <w:szCs w:val="22"/>
        </w:rPr>
        <w:t xml:space="preserve">ElectraNet has committed to managing within the AER allowance through </w:t>
      </w:r>
      <w:r w:rsidR="00C12888" w:rsidRPr="006915F8">
        <w:rPr>
          <w:rFonts w:cstheme="minorBidi"/>
          <w:sz w:val="22"/>
          <w:szCs w:val="22"/>
        </w:rPr>
        <w:t>clearly defined processes and procedures to ensure projects align with strategic priorities and deliver the highest value to consumers. This will lead to</w:t>
      </w:r>
      <w:r w:rsidRPr="006915F8">
        <w:rPr>
          <w:rFonts w:cstheme="minorBidi"/>
          <w:sz w:val="22"/>
          <w:szCs w:val="22"/>
        </w:rPr>
        <w:t xml:space="preserve"> deferrals, and risk-based prioritisation.</w:t>
      </w:r>
      <w:r w:rsidR="42FEEBE3" w:rsidRPr="006915F8">
        <w:rPr>
          <w:rFonts w:cstheme="minorBidi"/>
          <w:sz w:val="22"/>
          <w:szCs w:val="22"/>
        </w:rPr>
        <w:t xml:space="preserve"> </w:t>
      </w:r>
      <w:r w:rsidRPr="006915F8">
        <w:rPr>
          <w:rFonts w:cstheme="minorBidi"/>
          <w:sz w:val="22"/>
          <w:szCs w:val="22"/>
        </w:rPr>
        <w:t>ElectraNet remains committed to balancing risk, cost, and performance while maintaining reliability under financial and operational pressure.</w:t>
      </w:r>
    </w:p>
    <w:p w14:paraId="65C1EF85" w14:textId="713AEC0A" w:rsidR="000C7E53" w:rsidRPr="00236F10" w:rsidRDefault="00667FD5" w:rsidP="00236F10">
      <w:pPr>
        <w:pStyle w:val="Heading2Numbered"/>
        <w:numPr>
          <w:ilvl w:val="0"/>
          <w:numId w:val="22"/>
        </w:numPr>
        <w:rPr>
          <w:rFonts w:asciiTheme="minorHAnsi" w:hAnsiTheme="minorHAnsi" w:cstheme="minorHAnsi"/>
          <w:b/>
          <w:bCs/>
        </w:rPr>
      </w:pPr>
      <w:r w:rsidRPr="00236F10">
        <w:rPr>
          <w:rFonts w:asciiTheme="minorHAnsi" w:hAnsiTheme="minorHAnsi" w:cstheme="minorHAnsi"/>
          <w:b/>
          <w:bCs/>
        </w:rPr>
        <w:t xml:space="preserve">Wrap up summary </w:t>
      </w:r>
    </w:p>
    <w:p w14:paraId="036124F9" w14:textId="43AE37BA" w:rsidR="004D0682" w:rsidRPr="006915F8" w:rsidRDefault="004D0682" w:rsidP="00236F10">
      <w:pPr>
        <w:spacing w:after="160" w:line="240" w:lineRule="auto"/>
        <w:rPr>
          <w:rFonts w:cstheme="minorBidi"/>
          <w:sz w:val="22"/>
          <w:szCs w:val="22"/>
        </w:rPr>
      </w:pPr>
      <w:r w:rsidRPr="006915F8">
        <w:rPr>
          <w:rFonts w:cstheme="minorBidi"/>
          <w:sz w:val="22"/>
          <w:szCs w:val="22"/>
        </w:rPr>
        <w:t xml:space="preserve">CAP members acknowledged the importance of proactive planning and the need to balance affordability with reliability. </w:t>
      </w:r>
      <w:r w:rsidR="007A7ECC" w:rsidRPr="006915F8">
        <w:rPr>
          <w:rFonts w:cstheme="minorBidi"/>
          <w:sz w:val="22"/>
          <w:szCs w:val="22"/>
        </w:rPr>
        <w:t>Two</w:t>
      </w:r>
      <w:r w:rsidRPr="006915F8">
        <w:rPr>
          <w:rFonts w:cstheme="minorBidi"/>
          <w:sz w:val="22"/>
          <w:szCs w:val="22"/>
        </w:rPr>
        <w:t xml:space="preserve"> key </w:t>
      </w:r>
      <w:r w:rsidR="007A7ECC" w:rsidRPr="006915F8">
        <w:rPr>
          <w:rFonts w:cstheme="minorBidi"/>
          <w:sz w:val="22"/>
          <w:szCs w:val="22"/>
        </w:rPr>
        <w:t>items</w:t>
      </w:r>
      <w:r w:rsidRPr="006915F8">
        <w:rPr>
          <w:rFonts w:cstheme="minorBidi"/>
          <w:sz w:val="22"/>
          <w:szCs w:val="22"/>
        </w:rPr>
        <w:t xml:space="preserve"> were raised during the wrap-up discussion:</w:t>
      </w:r>
    </w:p>
    <w:p w14:paraId="40D410F7" w14:textId="493F9237" w:rsidR="004D0682" w:rsidRPr="006915F8" w:rsidRDefault="004D0682" w:rsidP="006915F8">
      <w:pPr>
        <w:numPr>
          <w:ilvl w:val="0"/>
          <w:numId w:val="39"/>
        </w:numPr>
        <w:spacing w:after="160" w:line="240" w:lineRule="auto"/>
        <w:rPr>
          <w:rFonts w:cstheme="minorBidi"/>
          <w:sz w:val="22"/>
          <w:szCs w:val="22"/>
        </w:rPr>
      </w:pPr>
      <w:r w:rsidRPr="006915F8">
        <w:rPr>
          <w:rFonts w:cstheme="minorBidi"/>
          <w:sz w:val="22"/>
          <w:szCs w:val="22"/>
        </w:rPr>
        <w:t>Firm Energy Reliability Mechanism (FERM) – EUAA Out-of-Session Meeting</w:t>
      </w:r>
      <w:r w:rsidRPr="006915F8">
        <w:rPr>
          <w:rFonts w:cstheme="minorBidi"/>
          <w:sz w:val="22"/>
          <w:szCs w:val="22"/>
        </w:rPr>
        <w:br/>
        <w:t>Several members expressed interest in issues relating to the South Australian FERM. While this falls largely outside the CAP’s terms of reference and was not discussed in detail during the meeting, Andrew Richards</w:t>
      </w:r>
      <w:r w:rsidR="007A7ECC" w:rsidRPr="006915F8">
        <w:rPr>
          <w:rFonts w:cstheme="minorBidi"/>
          <w:sz w:val="22"/>
          <w:szCs w:val="22"/>
        </w:rPr>
        <w:t xml:space="preserve"> (CAP Member)</w:t>
      </w:r>
      <w:r w:rsidRPr="006915F8">
        <w:rPr>
          <w:rFonts w:cstheme="minorBidi"/>
          <w:sz w:val="22"/>
          <w:szCs w:val="22"/>
        </w:rPr>
        <w:t xml:space="preserve"> previously offered to convene an EUAA session to explore implications and stakeholder perspectives. </w:t>
      </w:r>
    </w:p>
    <w:p w14:paraId="229BA987" w14:textId="795B1025" w:rsidR="004D0682" w:rsidRPr="006915F8" w:rsidRDefault="004D0682" w:rsidP="006915F8">
      <w:pPr>
        <w:numPr>
          <w:ilvl w:val="0"/>
          <w:numId w:val="39"/>
        </w:numPr>
        <w:spacing w:after="160" w:line="240" w:lineRule="auto"/>
        <w:rPr>
          <w:rFonts w:cstheme="minorBidi"/>
          <w:sz w:val="22"/>
          <w:szCs w:val="22"/>
        </w:rPr>
      </w:pPr>
      <w:r w:rsidRPr="006915F8">
        <w:rPr>
          <w:rFonts w:cstheme="minorBidi"/>
          <w:sz w:val="22"/>
          <w:szCs w:val="22"/>
        </w:rPr>
        <w:t>Joint CAP/CAF Meeting – 15 October</w:t>
      </w:r>
      <w:r w:rsidR="00B92B6C">
        <w:rPr>
          <w:rFonts w:cstheme="minorBidi"/>
          <w:sz w:val="22"/>
          <w:szCs w:val="22"/>
        </w:rPr>
        <w:t xml:space="preserve"> 2025</w:t>
      </w:r>
      <w:r w:rsidRPr="006915F8">
        <w:rPr>
          <w:rFonts w:cstheme="minorBidi"/>
          <w:sz w:val="22"/>
          <w:szCs w:val="22"/>
        </w:rPr>
        <w:br/>
        <w:t>Members confirmed their enthusiasm for the joint out-of-session meeting with the Consumer Advisory Forum (CAF) scheduled for 15 October. They also supported including an informal networking component. Alycia will confirm details and share them with CAP members ahead of the session.</w:t>
      </w:r>
    </w:p>
    <w:p w14:paraId="1840D6BD" w14:textId="38CA4ED4" w:rsidR="00AB1B93" w:rsidRPr="006915F8" w:rsidRDefault="00655D5C" w:rsidP="00CE1D52">
      <w:pPr>
        <w:spacing w:after="160" w:line="240" w:lineRule="auto"/>
        <w:rPr>
          <w:rFonts w:cstheme="minorHAnsi"/>
          <w:b/>
          <w:bCs/>
          <w:sz w:val="22"/>
          <w:szCs w:val="22"/>
        </w:rPr>
      </w:pPr>
      <w:r w:rsidRPr="006915F8">
        <w:rPr>
          <w:rFonts w:cstheme="minorHAnsi"/>
          <w:b/>
          <w:bCs/>
          <w:sz w:val="22"/>
          <w:szCs w:val="22"/>
        </w:rPr>
        <w:t xml:space="preserve">ACTION: </w:t>
      </w:r>
      <w:r w:rsidR="007D2E50" w:rsidRPr="006915F8">
        <w:rPr>
          <w:rFonts w:cstheme="minorHAnsi"/>
          <w:b/>
          <w:bCs/>
          <w:sz w:val="22"/>
          <w:szCs w:val="22"/>
        </w:rPr>
        <w:t>AM</w:t>
      </w:r>
      <w:r w:rsidR="00300B44" w:rsidRPr="006915F8">
        <w:rPr>
          <w:rFonts w:cstheme="minorHAnsi"/>
          <w:b/>
          <w:bCs/>
          <w:sz w:val="22"/>
          <w:szCs w:val="22"/>
        </w:rPr>
        <w:t xml:space="preserve"> to confirm joint CAF/CAP meeting with SA Power Networks</w:t>
      </w:r>
      <w:r w:rsidR="007D2E50" w:rsidRPr="006915F8">
        <w:rPr>
          <w:rFonts w:cstheme="minorHAnsi"/>
          <w:b/>
          <w:bCs/>
          <w:sz w:val="22"/>
          <w:szCs w:val="22"/>
        </w:rPr>
        <w:t>.</w:t>
      </w:r>
    </w:p>
    <w:p w14:paraId="42CB737B" w14:textId="435A84AC" w:rsidR="00BA4240" w:rsidRDefault="007D2E50" w:rsidP="00CE1D52">
      <w:pPr>
        <w:spacing w:after="160" w:line="240" w:lineRule="auto"/>
        <w:rPr>
          <w:rFonts w:cstheme="minorHAnsi"/>
          <w:b/>
          <w:bCs/>
          <w:sz w:val="22"/>
          <w:szCs w:val="22"/>
        </w:rPr>
      </w:pPr>
      <w:r w:rsidRPr="006915F8">
        <w:rPr>
          <w:rFonts w:cstheme="minorHAnsi"/>
          <w:b/>
          <w:bCs/>
          <w:sz w:val="22"/>
          <w:szCs w:val="22"/>
        </w:rPr>
        <w:t>ACTION:</w:t>
      </w:r>
      <w:r w:rsidR="00BA4240" w:rsidRPr="006915F8">
        <w:rPr>
          <w:rFonts w:cstheme="minorHAnsi"/>
          <w:b/>
          <w:bCs/>
          <w:sz w:val="22"/>
          <w:szCs w:val="22"/>
        </w:rPr>
        <w:t xml:space="preserve"> </w:t>
      </w:r>
      <w:r w:rsidRPr="006915F8">
        <w:rPr>
          <w:rFonts w:cstheme="minorHAnsi"/>
          <w:b/>
          <w:bCs/>
          <w:sz w:val="22"/>
          <w:szCs w:val="22"/>
        </w:rPr>
        <w:t xml:space="preserve">AM to follow up with Andrew Richards to arrange an EUAA out-of-session meeting on the FERM and explore stakeholder perspectives. </w:t>
      </w:r>
    </w:p>
    <w:p w14:paraId="1835AAC4" w14:textId="77777777" w:rsidR="00CE1D52" w:rsidRDefault="00CE1D52">
      <w:pPr>
        <w:adjustRightInd/>
        <w:snapToGrid/>
        <w:spacing w:before="0" w:after="0" w:line="240" w:lineRule="auto"/>
        <w:rPr>
          <w:rFonts w:cstheme="minorHAnsi"/>
          <w:b/>
          <w:bCs/>
          <w:sz w:val="22"/>
          <w:szCs w:val="22"/>
        </w:rPr>
      </w:pPr>
      <w:r>
        <w:rPr>
          <w:rFonts w:cstheme="minorHAnsi"/>
          <w:b/>
          <w:bCs/>
          <w:sz w:val="22"/>
          <w:szCs w:val="22"/>
        </w:rPr>
        <w:br w:type="page"/>
      </w:r>
    </w:p>
    <w:p w14:paraId="19F2CA99" w14:textId="77777777" w:rsidR="00BA4240" w:rsidRPr="006915F8" w:rsidRDefault="00BA4240" w:rsidP="00CE1D52">
      <w:pPr>
        <w:spacing w:after="160" w:line="240" w:lineRule="auto"/>
        <w:rPr>
          <w:rFonts w:cstheme="minorHAnsi"/>
          <w:b/>
          <w:bCs/>
          <w:sz w:val="22"/>
          <w:szCs w:val="22"/>
        </w:rPr>
      </w:pPr>
    </w:p>
    <w:tbl>
      <w:tblPr>
        <w:tblStyle w:val="TableElectraNet"/>
        <w:tblpPr w:leftFromText="180" w:rightFromText="180" w:vertAnchor="text" w:horzAnchor="margin" w:tblpY="183"/>
        <w:tblW w:w="10106" w:type="dxa"/>
        <w:tblLook w:val="04A0" w:firstRow="1" w:lastRow="0" w:firstColumn="1" w:lastColumn="0" w:noHBand="0" w:noVBand="1"/>
      </w:tblPr>
      <w:tblGrid>
        <w:gridCol w:w="851"/>
        <w:gridCol w:w="821"/>
        <w:gridCol w:w="6224"/>
        <w:gridCol w:w="2210"/>
      </w:tblGrid>
      <w:tr w:rsidR="00587D1B" w14:paraId="52ADCA52" w14:textId="77777777" w:rsidTr="00F774FD">
        <w:trPr>
          <w:cnfStyle w:val="100000000000" w:firstRow="1" w:lastRow="0" w:firstColumn="0" w:lastColumn="0" w:oddVBand="0" w:evenVBand="0" w:oddHBand="0" w:evenHBand="0" w:firstRowFirstColumn="0" w:firstRowLastColumn="0" w:lastRowFirstColumn="0" w:lastRowLastColumn="0"/>
          <w:trHeight w:val="341"/>
        </w:trPr>
        <w:tc>
          <w:tcPr>
            <w:tcW w:w="1672" w:type="dxa"/>
            <w:gridSpan w:val="2"/>
          </w:tcPr>
          <w:p w14:paraId="50CFC994" w14:textId="77777777" w:rsidR="00024723" w:rsidRPr="006915F8" w:rsidRDefault="00024723" w:rsidP="00024723">
            <w:pPr>
              <w:spacing w:before="0" w:after="0" w:line="240" w:lineRule="auto"/>
              <w:rPr>
                <w:rFonts w:cstheme="minorBidi"/>
                <w:sz w:val="22"/>
                <w:szCs w:val="22"/>
              </w:rPr>
            </w:pPr>
            <w:r w:rsidRPr="006915F8">
              <w:rPr>
                <w:rFonts w:cstheme="minorBidi"/>
                <w:sz w:val="22"/>
                <w:szCs w:val="22"/>
              </w:rPr>
              <w:t>No</w:t>
            </w:r>
          </w:p>
        </w:tc>
        <w:tc>
          <w:tcPr>
            <w:tcW w:w="6224" w:type="dxa"/>
          </w:tcPr>
          <w:p w14:paraId="4E75069C" w14:textId="77777777" w:rsidR="00024723" w:rsidRPr="006915F8" w:rsidRDefault="00024723" w:rsidP="00024723">
            <w:pPr>
              <w:spacing w:before="0" w:after="0" w:line="240" w:lineRule="auto"/>
              <w:rPr>
                <w:rFonts w:cstheme="minorBidi"/>
                <w:sz w:val="22"/>
                <w:szCs w:val="22"/>
              </w:rPr>
            </w:pPr>
            <w:r w:rsidRPr="006915F8">
              <w:rPr>
                <w:rFonts w:cstheme="minorBidi"/>
                <w:sz w:val="22"/>
                <w:szCs w:val="22"/>
              </w:rPr>
              <w:t xml:space="preserve">Action </w:t>
            </w:r>
          </w:p>
        </w:tc>
        <w:tc>
          <w:tcPr>
            <w:tcW w:w="2210" w:type="dxa"/>
          </w:tcPr>
          <w:p w14:paraId="7A8B7253" w14:textId="77777777" w:rsidR="00024723" w:rsidRPr="006915F8" w:rsidRDefault="00024723" w:rsidP="00024723">
            <w:pPr>
              <w:spacing w:before="0" w:after="0" w:line="240" w:lineRule="auto"/>
              <w:rPr>
                <w:rFonts w:cstheme="minorBidi"/>
                <w:sz w:val="22"/>
                <w:szCs w:val="22"/>
              </w:rPr>
            </w:pPr>
            <w:r w:rsidRPr="006915F8">
              <w:rPr>
                <w:rFonts w:cstheme="minorBidi"/>
                <w:sz w:val="22"/>
                <w:szCs w:val="22"/>
              </w:rPr>
              <w:t xml:space="preserve">Responsible </w:t>
            </w:r>
          </w:p>
        </w:tc>
      </w:tr>
      <w:tr w:rsidR="001B0D09" w:rsidRPr="001B0D09" w14:paraId="0CD6773B" w14:textId="77777777" w:rsidTr="001B0D09">
        <w:trPr>
          <w:cnfStyle w:val="000000100000" w:firstRow="0" w:lastRow="0" w:firstColumn="0" w:lastColumn="0" w:oddVBand="0" w:evenVBand="0" w:oddHBand="1" w:evenHBand="0" w:firstRowFirstColumn="0" w:firstRowLastColumn="0" w:lastRowFirstColumn="0" w:lastRowLastColumn="0"/>
          <w:trHeight w:val="471"/>
        </w:trPr>
        <w:tc>
          <w:tcPr>
            <w:tcW w:w="851" w:type="dxa"/>
          </w:tcPr>
          <w:p w14:paraId="7037827A" w14:textId="4D04C396" w:rsidR="00024723" w:rsidRPr="006915F8" w:rsidRDefault="007D2E50" w:rsidP="007D2E50">
            <w:pPr>
              <w:spacing w:before="0" w:after="0" w:line="240" w:lineRule="auto"/>
              <w:rPr>
                <w:rFonts w:cstheme="minorHAnsi"/>
                <w:color w:val="000000" w:themeColor="text1"/>
                <w:sz w:val="22"/>
                <w:szCs w:val="22"/>
              </w:rPr>
            </w:pPr>
            <w:r w:rsidRPr="006915F8">
              <w:rPr>
                <w:rFonts w:cstheme="minorHAnsi"/>
                <w:color w:val="000000" w:themeColor="text1"/>
                <w:sz w:val="22"/>
                <w:szCs w:val="22"/>
              </w:rPr>
              <w:t xml:space="preserve">1. </w:t>
            </w:r>
          </w:p>
        </w:tc>
        <w:tc>
          <w:tcPr>
            <w:tcW w:w="7045" w:type="dxa"/>
            <w:gridSpan w:val="2"/>
          </w:tcPr>
          <w:p w14:paraId="1C958898" w14:textId="2C837A2A" w:rsidR="00024723" w:rsidRPr="006915F8" w:rsidRDefault="00F774FD" w:rsidP="00EE63A5">
            <w:pPr>
              <w:spacing w:line="276" w:lineRule="auto"/>
              <w:rPr>
                <w:rFonts w:cstheme="minorHAnsi"/>
                <w:color w:val="000000" w:themeColor="text1"/>
                <w:sz w:val="22"/>
                <w:szCs w:val="22"/>
              </w:rPr>
            </w:pPr>
            <w:r w:rsidRPr="006915F8">
              <w:rPr>
                <w:rFonts w:eastAsiaTheme="minorEastAsia" w:cstheme="minorHAnsi"/>
                <w:color w:val="000000" w:themeColor="text2"/>
                <w:sz w:val="22"/>
                <w:szCs w:val="22"/>
              </w:rPr>
              <w:t>Leanne to send CAP agenda items for the Board to Alycia</w:t>
            </w:r>
            <w:r w:rsidR="00F00CED" w:rsidRPr="006915F8">
              <w:rPr>
                <w:rFonts w:eastAsiaTheme="minorEastAsia" w:cstheme="minorHAnsi"/>
                <w:color w:val="000000" w:themeColor="text2"/>
                <w:sz w:val="22"/>
                <w:szCs w:val="22"/>
              </w:rPr>
              <w:t xml:space="preserve"> and Jeremy</w:t>
            </w:r>
            <w:r w:rsidR="00EE63A5" w:rsidRPr="006915F8">
              <w:rPr>
                <w:rFonts w:eastAsiaTheme="minorEastAsia" w:cstheme="minorHAnsi"/>
                <w:color w:val="000000" w:themeColor="text2"/>
                <w:sz w:val="22"/>
                <w:szCs w:val="22"/>
              </w:rPr>
              <w:t xml:space="preserve"> </w:t>
            </w:r>
            <w:r w:rsidR="00562F3C">
              <w:rPr>
                <w:rFonts w:eastAsiaTheme="minorEastAsia" w:cstheme="minorHAnsi"/>
                <w:color w:val="000000" w:themeColor="text2"/>
                <w:sz w:val="22"/>
                <w:szCs w:val="22"/>
              </w:rPr>
              <w:t>by 27 August 2025</w:t>
            </w:r>
          </w:p>
        </w:tc>
        <w:tc>
          <w:tcPr>
            <w:tcW w:w="2210" w:type="dxa"/>
          </w:tcPr>
          <w:p w14:paraId="2FA5F5E1" w14:textId="4DFD920A" w:rsidR="00024723" w:rsidRPr="006915F8" w:rsidRDefault="00F774FD" w:rsidP="00024723">
            <w:pPr>
              <w:spacing w:before="0" w:after="0" w:line="240" w:lineRule="auto"/>
              <w:rPr>
                <w:rFonts w:cstheme="minorHAnsi"/>
                <w:color w:val="000000" w:themeColor="text1"/>
                <w:sz w:val="22"/>
                <w:szCs w:val="22"/>
              </w:rPr>
            </w:pPr>
            <w:r w:rsidRPr="006915F8">
              <w:rPr>
                <w:rFonts w:cstheme="minorHAnsi"/>
                <w:color w:val="000000" w:themeColor="text2"/>
                <w:sz w:val="22"/>
                <w:szCs w:val="22"/>
              </w:rPr>
              <w:t>LM</w:t>
            </w:r>
          </w:p>
        </w:tc>
      </w:tr>
      <w:tr w:rsidR="001B0D09" w:rsidRPr="001B0D09" w14:paraId="79A873D7" w14:textId="77777777" w:rsidTr="001B0D09">
        <w:trPr>
          <w:cnfStyle w:val="000000010000" w:firstRow="0" w:lastRow="0" w:firstColumn="0" w:lastColumn="0" w:oddVBand="0" w:evenVBand="0" w:oddHBand="0" w:evenHBand="1" w:firstRowFirstColumn="0" w:firstRowLastColumn="0" w:lastRowFirstColumn="0" w:lastRowLastColumn="0"/>
          <w:trHeight w:val="359"/>
        </w:trPr>
        <w:tc>
          <w:tcPr>
            <w:tcW w:w="851" w:type="dxa"/>
          </w:tcPr>
          <w:p w14:paraId="1AA8D8A5" w14:textId="793314C6" w:rsidR="00024723" w:rsidRPr="006915F8" w:rsidRDefault="007D2E50" w:rsidP="007D2E50">
            <w:pPr>
              <w:pStyle w:val="Heading1Numbered"/>
              <w:numPr>
                <w:ilvl w:val="0"/>
                <w:numId w:val="0"/>
              </w:numPr>
              <w:ind w:left="340" w:hanging="340"/>
              <w:rPr>
                <w:rFonts w:asciiTheme="minorHAnsi" w:hAnsiTheme="minorHAnsi" w:cstheme="minorHAnsi"/>
                <w:color w:val="000000" w:themeColor="text1"/>
                <w:sz w:val="22"/>
                <w:szCs w:val="22"/>
              </w:rPr>
            </w:pPr>
            <w:r w:rsidRPr="006915F8">
              <w:rPr>
                <w:rFonts w:asciiTheme="minorHAnsi" w:hAnsiTheme="minorHAnsi" w:cstheme="minorHAnsi"/>
                <w:color w:val="000000" w:themeColor="text1"/>
                <w:sz w:val="22"/>
                <w:szCs w:val="22"/>
              </w:rPr>
              <w:t>2.</w:t>
            </w:r>
          </w:p>
        </w:tc>
        <w:tc>
          <w:tcPr>
            <w:tcW w:w="7045" w:type="dxa"/>
            <w:gridSpan w:val="2"/>
          </w:tcPr>
          <w:p w14:paraId="5A8BECFC" w14:textId="0BCFA4DB" w:rsidR="00024723" w:rsidRPr="006915F8" w:rsidRDefault="00F774FD" w:rsidP="00024723">
            <w:pPr>
              <w:spacing w:before="0" w:after="0" w:line="240" w:lineRule="auto"/>
              <w:rPr>
                <w:rFonts w:cstheme="minorHAnsi"/>
                <w:color w:val="000000" w:themeColor="text1"/>
                <w:sz w:val="22"/>
                <w:szCs w:val="22"/>
              </w:rPr>
            </w:pPr>
            <w:r w:rsidRPr="006915F8">
              <w:rPr>
                <w:rFonts w:cstheme="minorHAnsi"/>
                <w:color w:val="000000" w:themeColor="text2"/>
                <w:sz w:val="22"/>
                <w:szCs w:val="22"/>
              </w:rPr>
              <w:t>ElectraNet coordinate with CAP members to confirm the site visit and manage PPE requirements.</w:t>
            </w:r>
            <w:r w:rsidR="00EE63A5" w:rsidRPr="006915F8">
              <w:rPr>
                <w:rFonts w:cstheme="minorHAnsi"/>
                <w:color w:val="000000" w:themeColor="text2"/>
                <w:sz w:val="22"/>
                <w:szCs w:val="22"/>
              </w:rPr>
              <w:t xml:space="preserve"> </w:t>
            </w:r>
          </w:p>
        </w:tc>
        <w:tc>
          <w:tcPr>
            <w:tcW w:w="2210" w:type="dxa"/>
          </w:tcPr>
          <w:p w14:paraId="450F5E7B" w14:textId="00816834" w:rsidR="00024723" w:rsidRPr="006915F8" w:rsidRDefault="00F774FD" w:rsidP="00024723">
            <w:pPr>
              <w:spacing w:before="0" w:after="0" w:line="240" w:lineRule="auto"/>
              <w:rPr>
                <w:rFonts w:cstheme="minorHAnsi"/>
                <w:color w:val="000000" w:themeColor="text1"/>
                <w:sz w:val="22"/>
                <w:szCs w:val="22"/>
              </w:rPr>
            </w:pPr>
            <w:r w:rsidRPr="006915F8">
              <w:rPr>
                <w:rFonts w:cstheme="minorHAnsi"/>
                <w:color w:val="000000" w:themeColor="text2"/>
                <w:sz w:val="22"/>
                <w:szCs w:val="22"/>
              </w:rPr>
              <w:t>AM</w:t>
            </w:r>
          </w:p>
        </w:tc>
      </w:tr>
      <w:tr w:rsidR="56778A1A" w14:paraId="6738F81D" w14:textId="77777777" w:rsidTr="572A9DD3">
        <w:trPr>
          <w:cnfStyle w:val="000000100000" w:firstRow="0" w:lastRow="0" w:firstColumn="0" w:lastColumn="0" w:oddVBand="0" w:evenVBand="0" w:oddHBand="1" w:evenHBand="0" w:firstRowFirstColumn="0" w:firstRowLastColumn="0" w:lastRowFirstColumn="0" w:lastRowLastColumn="0"/>
          <w:trHeight w:val="300"/>
        </w:trPr>
        <w:tc>
          <w:tcPr>
            <w:tcW w:w="851" w:type="dxa"/>
          </w:tcPr>
          <w:p w14:paraId="05AEAE4F" w14:textId="1963A0D3" w:rsidR="56778A1A" w:rsidRPr="006915F8" w:rsidRDefault="007D2E50" w:rsidP="007D2E50">
            <w:pPr>
              <w:pStyle w:val="Heading1Numbered"/>
              <w:numPr>
                <w:ilvl w:val="0"/>
                <w:numId w:val="0"/>
              </w:numPr>
              <w:rPr>
                <w:rFonts w:asciiTheme="minorHAnsi" w:hAnsiTheme="minorHAnsi" w:cstheme="minorHAnsi"/>
                <w:color w:val="000000" w:themeColor="text2"/>
                <w:sz w:val="22"/>
                <w:szCs w:val="22"/>
              </w:rPr>
            </w:pPr>
            <w:r w:rsidRPr="006915F8">
              <w:rPr>
                <w:rFonts w:asciiTheme="minorHAnsi" w:hAnsiTheme="minorHAnsi" w:cstheme="minorHAnsi"/>
                <w:color w:val="000000" w:themeColor="text2"/>
                <w:sz w:val="22"/>
                <w:szCs w:val="22"/>
              </w:rPr>
              <w:t>3.</w:t>
            </w:r>
          </w:p>
        </w:tc>
        <w:tc>
          <w:tcPr>
            <w:tcW w:w="7045" w:type="dxa"/>
            <w:gridSpan w:val="2"/>
          </w:tcPr>
          <w:p w14:paraId="55320CDC" w14:textId="64B2AA3E" w:rsidR="56778A1A" w:rsidRPr="006915F8" w:rsidRDefault="77FB38D0" w:rsidP="572A9DD3">
            <w:pPr>
              <w:spacing w:line="240" w:lineRule="auto"/>
              <w:rPr>
                <w:rFonts w:cstheme="minorHAnsi"/>
                <w:color w:val="000000" w:themeColor="text2"/>
                <w:sz w:val="22"/>
                <w:szCs w:val="22"/>
              </w:rPr>
            </w:pPr>
            <w:r w:rsidRPr="006915F8">
              <w:rPr>
                <w:rFonts w:cstheme="minorHAnsi"/>
                <w:color w:val="000000" w:themeColor="text2"/>
                <w:sz w:val="22"/>
                <w:szCs w:val="22"/>
              </w:rPr>
              <w:t xml:space="preserve">ElectraNet to reassess its position on </w:t>
            </w:r>
            <w:r w:rsidR="0019283D">
              <w:rPr>
                <w:rFonts w:cstheme="minorHAnsi"/>
                <w:color w:val="000000" w:themeColor="text2"/>
                <w:sz w:val="22"/>
                <w:szCs w:val="22"/>
              </w:rPr>
              <w:t xml:space="preserve">The </w:t>
            </w:r>
            <w:r w:rsidRPr="006915F8">
              <w:rPr>
                <w:rFonts w:cstheme="minorHAnsi"/>
                <w:color w:val="000000" w:themeColor="text2"/>
                <w:sz w:val="22"/>
                <w:szCs w:val="22"/>
              </w:rPr>
              <w:t>Energy Charter membership and explore opportunities to voluntarily align with and report against the Charter’s accountability framework and engagement KPIs.</w:t>
            </w:r>
          </w:p>
        </w:tc>
        <w:tc>
          <w:tcPr>
            <w:tcW w:w="2210" w:type="dxa"/>
          </w:tcPr>
          <w:p w14:paraId="037141CC" w14:textId="74E5A015" w:rsidR="56778A1A" w:rsidRPr="006915F8" w:rsidRDefault="77FB38D0" w:rsidP="572A9DD3">
            <w:pPr>
              <w:spacing w:line="240" w:lineRule="auto"/>
              <w:rPr>
                <w:rFonts w:cstheme="minorHAnsi"/>
                <w:color w:val="000000" w:themeColor="text2"/>
                <w:sz w:val="22"/>
                <w:szCs w:val="22"/>
              </w:rPr>
            </w:pPr>
            <w:r w:rsidRPr="006915F8">
              <w:rPr>
                <w:rFonts w:cstheme="minorHAnsi"/>
                <w:color w:val="000000" w:themeColor="text2"/>
                <w:sz w:val="22"/>
                <w:szCs w:val="22"/>
              </w:rPr>
              <w:t>CH</w:t>
            </w:r>
          </w:p>
        </w:tc>
      </w:tr>
      <w:tr w:rsidR="001B0D09" w:rsidRPr="001B0D09" w14:paraId="209BCD60" w14:textId="77777777" w:rsidTr="001B0D09">
        <w:trPr>
          <w:cnfStyle w:val="000000010000" w:firstRow="0" w:lastRow="0" w:firstColumn="0" w:lastColumn="0" w:oddVBand="0" w:evenVBand="0" w:oddHBand="0" w:evenHBand="1" w:firstRowFirstColumn="0" w:firstRowLastColumn="0" w:lastRowFirstColumn="0" w:lastRowLastColumn="0"/>
          <w:trHeight w:val="359"/>
        </w:trPr>
        <w:tc>
          <w:tcPr>
            <w:tcW w:w="851" w:type="dxa"/>
          </w:tcPr>
          <w:p w14:paraId="3C677B1E" w14:textId="6F089B9C" w:rsidR="001D1BF9" w:rsidRPr="006915F8" w:rsidRDefault="007D2E50" w:rsidP="007D2E50">
            <w:pPr>
              <w:pStyle w:val="Heading1Numbered"/>
              <w:numPr>
                <w:ilvl w:val="0"/>
                <w:numId w:val="0"/>
              </w:numPr>
              <w:ind w:left="340" w:hanging="340"/>
              <w:rPr>
                <w:rFonts w:asciiTheme="minorHAnsi" w:hAnsiTheme="minorHAnsi" w:cstheme="minorHAnsi"/>
                <w:color w:val="000000" w:themeColor="text1"/>
                <w:sz w:val="22"/>
                <w:szCs w:val="22"/>
              </w:rPr>
            </w:pPr>
            <w:r w:rsidRPr="006915F8">
              <w:rPr>
                <w:rFonts w:asciiTheme="minorHAnsi" w:hAnsiTheme="minorHAnsi" w:cstheme="minorHAnsi"/>
                <w:color w:val="000000" w:themeColor="text1"/>
                <w:sz w:val="22"/>
                <w:szCs w:val="22"/>
              </w:rPr>
              <w:t>4.</w:t>
            </w:r>
          </w:p>
        </w:tc>
        <w:tc>
          <w:tcPr>
            <w:tcW w:w="7045" w:type="dxa"/>
            <w:gridSpan w:val="2"/>
          </w:tcPr>
          <w:p w14:paraId="68EAFE12" w14:textId="02A09574" w:rsidR="001D1BF9" w:rsidRPr="006915F8" w:rsidRDefault="004455EF" w:rsidP="00F774FD">
            <w:pPr>
              <w:spacing w:line="276" w:lineRule="auto"/>
              <w:rPr>
                <w:rFonts w:cstheme="minorHAnsi"/>
                <w:color w:val="000000" w:themeColor="text1"/>
                <w:sz w:val="22"/>
                <w:szCs w:val="22"/>
              </w:rPr>
            </w:pPr>
            <w:r w:rsidRPr="006915F8">
              <w:rPr>
                <w:rFonts w:cstheme="minorHAnsi"/>
                <w:color w:val="000000" w:themeColor="text2"/>
                <w:sz w:val="22"/>
                <w:szCs w:val="22"/>
              </w:rPr>
              <w:t xml:space="preserve">Rebecca Knol to provide the Ernst &amp; Young </w:t>
            </w:r>
            <w:r w:rsidR="00337868">
              <w:rPr>
                <w:rFonts w:cstheme="minorHAnsi"/>
                <w:color w:val="000000" w:themeColor="text2"/>
                <w:sz w:val="22"/>
                <w:szCs w:val="22"/>
              </w:rPr>
              <w:t xml:space="preserve">resource sector outlook </w:t>
            </w:r>
            <w:r w:rsidRPr="006915F8">
              <w:rPr>
                <w:rFonts w:cstheme="minorHAnsi"/>
                <w:color w:val="000000" w:themeColor="text2"/>
                <w:sz w:val="22"/>
                <w:szCs w:val="22"/>
              </w:rPr>
              <w:t>report to support further discussion.</w:t>
            </w:r>
          </w:p>
        </w:tc>
        <w:tc>
          <w:tcPr>
            <w:tcW w:w="2210" w:type="dxa"/>
          </w:tcPr>
          <w:p w14:paraId="1A21E005" w14:textId="425AA302" w:rsidR="001D1BF9" w:rsidRPr="006915F8" w:rsidRDefault="004455EF" w:rsidP="00024723">
            <w:pPr>
              <w:spacing w:before="0" w:after="0" w:line="240" w:lineRule="auto"/>
              <w:rPr>
                <w:rFonts w:cstheme="minorHAnsi"/>
                <w:color w:val="000000" w:themeColor="text1"/>
                <w:sz w:val="22"/>
                <w:szCs w:val="22"/>
              </w:rPr>
            </w:pPr>
            <w:r w:rsidRPr="006915F8">
              <w:rPr>
                <w:rFonts w:cstheme="minorHAnsi"/>
                <w:color w:val="000000" w:themeColor="text2"/>
                <w:sz w:val="22"/>
                <w:szCs w:val="22"/>
              </w:rPr>
              <w:t>RK</w:t>
            </w:r>
            <w:r w:rsidR="00EE63A5" w:rsidRPr="006915F8">
              <w:rPr>
                <w:rFonts w:cstheme="minorHAnsi"/>
                <w:color w:val="000000" w:themeColor="text2"/>
                <w:sz w:val="22"/>
                <w:szCs w:val="22"/>
              </w:rPr>
              <w:t xml:space="preserve"> (LM / AM to follow up)</w:t>
            </w:r>
          </w:p>
        </w:tc>
      </w:tr>
      <w:tr w:rsidR="00C923DB" w:rsidRPr="001B0D09" w14:paraId="15B43190" w14:textId="77777777" w:rsidTr="001B0D09">
        <w:trPr>
          <w:cnfStyle w:val="000000100000" w:firstRow="0" w:lastRow="0" w:firstColumn="0" w:lastColumn="0" w:oddVBand="0" w:evenVBand="0" w:oddHBand="1" w:evenHBand="0" w:firstRowFirstColumn="0" w:firstRowLastColumn="0" w:lastRowFirstColumn="0" w:lastRowLastColumn="0"/>
          <w:trHeight w:val="359"/>
        </w:trPr>
        <w:tc>
          <w:tcPr>
            <w:tcW w:w="851" w:type="dxa"/>
          </w:tcPr>
          <w:p w14:paraId="16CCC14A" w14:textId="3AC52DD2" w:rsidR="00C923DB" w:rsidRPr="006915F8" w:rsidRDefault="007D2E50" w:rsidP="007D2E50">
            <w:pPr>
              <w:pStyle w:val="Heading1Numbered"/>
              <w:numPr>
                <w:ilvl w:val="0"/>
                <w:numId w:val="0"/>
              </w:numPr>
              <w:ind w:left="340" w:hanging="340"/>
              <w:rPr>
                <w:rFonts w:asciiTheme="minorHAnsi" w:hAnsiTheme="minorHAnsi" w:cstheme="minorHAnsi"/>
                <w:color w:val="000000" w:themeColor="text1"/>
                <w:sz w:val="22"/>
                <w:szCs w:val="22"/>
              </w:rPr>
            </w:pPr>
            <w:r w:rsidRPr="006915F8">
              <w:rPr>
                <w:rFonts w:asciiTheme="minorHAnsi" w:hAnsiTheme="minorHAnsi" w:cstheme="minorHAnsi"/>
                <w:color w:val="000000" w:themeColor="text1"/>
                <w:sz w:val="22"/>
                <w:szCs w:val="22"/>
              </w:rPr>
              <w:t>5.</w:t>
            </w:r>
          </w:p>
        </w:tc>
        <w:tc>
          <w:tcPr>
            <w:tcW w:w="7045" w:type="dxa"/>
            <w:gridSpan w:val="2"/>
          </w:tcPr>
          <w:p w14:paraId="481FE7BC" w14:textId="1753E7D8" w:rsidR="00C923DB" w:rsidRPr="006915F8" w:rsidRDefault="00C923DB" w:rsidP="00655D5C">
            <w:pPr>
              <w:spacing w:line="276" w:lineRule="auto"/>
              <w:rPr>
                <w:rFonts w:cstheme="minorHAnsi"/>
                <w:color w:val="000000" w:themeColor="text2"/>
                <w:sz w:val="22"/>
                <w:szCs w:val="22"/>
              </w:rPr>
            </w:pPr>
            <w:r w:rsidRPr="006915F8">
              <w:rPr>
                <w:rFonts w:cstheme="minorHAnsi"/>
                <w:color w:val="000000" w:themeColor="text2"/>
                <w:sz w:val="22"/>
                <w:szCs w:val="22"/>
              </w:rPr>
              <w:t>ElectraNet to confirm joint CAF/CAP meeting with SA Power Networks</w:t>
            </w:r>
          </w:p>
        </w:tc>
        <w:tc>
          <w:tcPr>
            <w:tcW w:w="2210" w:type="dxa"/>
          </w:tcPr>
          <w:p w14:paraId="0B09E573" w14:textId="506E9851" w:rsidR="00C923DB" w:rsidRPr="006915F8" w:rsidRDefault="00C923DB" w:rsidP="00024723">
            <w:pPr>
              <w:spacing w:before="0" w:after="0" w:line="240" w:lineRule="auto"/>
              <w:rPr>
                <w:rFonts w:cstheme="minorHAnsi"/>
                <w:color w:val="000000" w:themeColor="text1"/>
                <w:sz w:val="22"/>
                <w:szCs w:val="22"/>
              </w:rPr>
            </w:pPr>
            <w:r w:rsidRPr="006915F8">
              <w:rPr>
                <w:rFonts w:cstheme="minorHAnsi"/>
                <w:color w:val="000000" w:themeColor="text2"/>
                <w:sz w:val="22"/>
                <w:szCs w:val="22"/>
              </w:rPr>
              <w:t>AM/CH</w:t>
            </w:r>
          </w:p>
        </w:tc>
      </w:tr>
      <w:tr w:rsidR="007D2E50" w:rsidRPr="001B0D09" w14:paraId="1E265D0B" w14:textId="77777777" w:rsidTr="001B0D09">
        <w:trPr>
          <w:cnfStyle w:val="000000010000" w:firstRow="0" w:lastRow="0" w:firstColumn="0" w:lastColumn="0" w:oddVBand="0" w:evenVBand="0" w:oddHBand="0" w:evenHBand="1" w:firstRowFirstColumn="0" w:firstRowLastColumn="0" w:lastRowFirstColumn="0" w:lastRowLastColumn="0"/>
          <w:trHeight w:val="359"/>
        </w:trPr>
        <w:tc>
          <w:tcPr>
            <w:tcW w:w="851" w:type="dxa"/>
          </w:tcPr>
          <w:p w14:paraId="0C181A5D" w14:textId="768EFCDF" w:rsidR="007D2E50" w:rsidRPr="006915F8" w:rsidRDefault="007D2E50" w:rsidP="007D2E50">
            <w:pPr>
              <w:pStyle w:val="Heading1Numbered"/>
              <w:numPr>
                <w:ilvl w:val="0"/>
                <w:numId w:val="0"/>
              </w:numPr>
              <w:ind w:left="340" w:hanging="340"/>
              <w:rPr>
                <w:rFonts w:asciiTheme="minorHAnsi" w:hAnsiTheme="minorHAnsi" w:cstheme="minorHAnsi"/>
                <w:color w:val="000000" w:themeColor="text1"/>
                <w:sz w:val="22"/>
                <w:szCs w:val="22"/>
              </w:rPr>
            </w:pPr>
            <w:r w:rsidRPr="006915F8">
              <w:rPr>
                <w:rFonts w:asciiTheme="minorHAnsi" w:hAnsiTheme="minorHAnsi" w:cstheme="minorHAnsi"/>
                <w:color w:val="000000" w:themeColor="text1"/>
                <w:sz w:val="22"/>
                <w:szCs w:val="22"/>
              </w:rPr>
              <w:t>6.</w:t>
            </w:r>
          </w:p>
        </w:tc>
        <w:tc>
          <w:tcPr>
            <w:tcW w:w="7045" w:type="dxa"/>
            <w:gridSpan w:val="2"/>
          </w:tcPr>
          <w:p w14:paraId="13B81590" w14:textId="459CBFD7" w:rsidR="007D2E50" w:rsidRPr="006915F8" w:rsidRDefault="007D2E50" w:rsidP="00655D5C">
            <w:pPr>
              <w:spacing w:line="276" w:lineRule="auto"/>
              <w:rPr>
                <w:rFonts w:cstheme="minorHAnsi"/>
                <w:color w:val="000000" w:themeColor="text2"/>
                <w:sz w:val="22"/>
                <w:szCs w:val="22"/>
              </w:rPr>
            </w:pPr>
            <w:r w:rsidRPr="006915F8">
              <w:rPr>
                <w:rFonts w:cstheme="minorHAnsi"/>
                <w:color w:val="000000" w:themeColor="text2"/>
                <w:sz w:val="22"/>
                <w:szCs w:val="22"/>
              </w:rPr>
              <w:t>AM to follow up with Andrew Richards to arrange EUAA out-of-session meeting</w:t>
            </w:r>
            <w:r w:rsidR="008E45ED">
              <w:rPr>
                <w:rFonts w:cstheme="minorHAnsi"/>
                <w:color w:val="000000" w:themeColor="text2"/>
                <w:sz w:val="22"/>
                <w:szCs w:val="22"/>
              </w:rPr>
              <w:t xml:space="preserve"> on the FERM</w:t>
            </w:r>
            <w:r w:rsidRPr="006915F8">
              <w:rPr>
                <w:rFonts w:cstheme="minorHAnsi"/>
                <w:color w:val="000000" w:themeColor="text2"/>
                <w:sz w:val="22"/>
                <w:szCs w:val="22"/>
              </w:rPr>
              <w:t xml:space="preserve">. </w:t>
            </w:r>
          </w:p>
        </w:tc>
        <w:tc>
          <w:tcPr>
            <w:tcW w:w="2210" w:type="dxa"/>
          </w:tcPr>
          <w:p w14:paraId="181FFC7F" w14:textId="1375279F" w:rsidR="007D2E50" w:rsidRPr="006915F8" w:rsidRDefault="007D2E50" w:rsidP="00024723">
            <w:pPr>
              <w:spacing w:before="0" w:after="0" w:line="240" w:lineRule="auto"/>
              <w:rPr>
                <w:rFonts w:cstheme="minorHAnsi"/>
                <w:color w:val="000000" w:themeColor="text2"/>
                <w:sz w:val="22"/>
                <w:szCs w:val="22"/>
              </w:rPr>
            </w:pPr>
            <w:r w:rsidRPr="006915F8">
              <w:rPr>
                <w:rFonts w:cstheme="minorHAnsi"/>
                <w:color w:val="000000" w:themeColor="text2"/>
                <w:sz w:val="22"/>
                <w:szCs w:val="22"/>
              </w:rPr>
              <w:t>AM</w:t>
            </w:r>
          </w:p>
        </w:tc>
      </w:tr>
    </w:tbl>
    <w:p w14:paraId="7D00984E" w14:textId="77777777" w:rsidR="004606CD" w:rsidRPr="006915F8" w:rsidRDefault="004606CD" w:rsidP="5FD8169A">
      <w:pPr>
        <w:rPr>
          <w:rFonts w:cstheme="minorBidi"/>
          <w:sz w:val="22"/>
          <w:szCs w:val="22"/>
        </w:rPr>
      </w:pPr>
    </w:p>
    <w:p w14:paraId="00EB5416" w14:textId="42B63BAA" w:rsidR="00D178D7" w:rsidRPr="006915F8" w:rsidRDefault="00D178D7" w:rsidP="5FD8169A">
      <w:pPr>
        <w:spacing w:line="276" w:lineRule="auto"/>
        <w:rPr>
          <w:rFonts w:cstheme="minorBidi"/>
          <w:sz w:val="22"/>
          <w:szCs w:val="22"/>
        </w:rPr>
      </w:pPr>
    </w:p>
    <w:sectPr w:rsidR="00D178D7" w:rsidRPr="006915F8" w:rsidSect="00EE33F8">
      <w:headerReference w:type="default" r:id="rId11"/>
      <w:footerReference w:type="default" r:id="rId12"/>
      <w:headerReference w:type="first" r:id="rId13"/>
      <w:footerReference w:type="first" r:id="rId14"/>
      <w:pgSz w:w="11906" w:h="16838" w:code="9"/>
      <w:pgMar w:top="1814" w:right="1134" w:bottom="1134" w:left="1134" w:header="539" w:footer="14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CEC49" w14:textId="77777777" w:rsidR="00DD6FC1" w:rsidRPr="000E13B1" w:rsidRDefault="00DD6FC1" w:rsidP="002B06F3">
      <w:r w:rsidRPr="000E13B1">
        <w:separator/>
      </w:r>
    </w:p>
    <w:p w14:paraId="00318D8E" w14:textId="77777777" w:rsidR="00DD6FC1" w:rsidRPr="000E13B1" w:rsidRDefault="00DD6FC1" w:rsidP="002B06F3"/>
    <w:p w14:paraId="08103CAF" w14:textId="77777777" w:rsidR="00DD6FC1" w:rsidRPr="000E13B1" w:rsidRDefault="00DD6FC1"/>
  </w:endnote>
  <w:endnote w:type="continuationSeparator" w:id="0">
    <w:p w14:paraId="528EDD3D" w14:textId="77777777" w:rsidR="00DD6FC1" w:rsidRPr="000E13B1" w:rsidRDefault="00DD6FC1" w:rsidP="002B06F3">
      <w:r w:rsidRPr="000E13B1">
        <w:continuationSeparator/>
      </w:r>
    </w:p>
    <w:p w14:paraId="4DCA528A" w14:textId="77777777" w:rsidR="00DD6FC1" w:rsidRPr="000E13B1" w:rsidRDefault="00DD6FC1" w:rsidP="002B06F3"/>
    <w:p w14:paraId="65CD48C1" w14:textId="77777777" w:rsidR="00DD6FC1" w:rsidRPr="000E13B1" w:rsidRDefault="00DD6FC1"/>
  </w:endnote>
  <w:endnote w:type="continuationNotice" w:id="1">
    <w:p w14:paraId="6380DDD3" w14:textId="77777777" w:rsidR="00DD6FC1" w:rsidRDefault="00DD6F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oppins SemiBold">
    <w:panose1 w:val="00000000000000000000"/>
    <w:charset w:val="00"/>
    <w:family w:val="roman"/>
    <w:notTrueType/>
    <w:pitch w:val="default"/>
    <w:embedRegular r:id="rId1" w:fontKey="{0AA8CF45-02BC-4A04-8E32-01871596A105}"/>
    <w:embedBold r:id="rId2" w:fontKey="{CD210B9A-1092-420C-8C11-94CD181F72E4}"/>
    <w:embedItalic r:id="rId3" w:fontKey="{9E41EF99-BF9A-4DA2-84B9-65A8868BC14E}"/>
    <w:embedBoldItalic r:id="rId4" w:fontKey="{EA423F0D-434B-4D1B-A11C-E0813E271E15}"/>
  </w:font>
  <w:font w:name="Poppins">
    <w:panose1 w:val="00000000000000000000"/>
    <w:charset w:val="00"/>
    <w:family w:val="roman"/>
    <w:notTrueType/>
    <w:pitch w:val="default"/>
    <w:embedRegular r:id="rId5" w:fontKey="{F6A04914-ADC6-4FE7-92A6-96F48275AE99}"/>
    <w:embedBold r:id="rId6" w:fontKey="{CB904202-8636-4A4E-9048-46EAFA90324C}"/>
    <w:embedItalic r:id="rId7" w:fontKey="{F39CCFFD-4962-471B-8FF0-4F15A1329642}"/>
    <w:embedBoldItalic r:id="rId8" w:fontKey="{FDFBACAF-6A41-474A-A9F1-7FCD128065A6}"/>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9" w:fontKey="{5FA45A57-1C94-4754-A408-3018C590A7A0}"/>
  </w:font>
  <w:font w:name="Lucida Grande">
    <w:altName w:val="Courier New"/>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10" w:fontKey="{D75C5D91-BB39-47C4-B97B-2923C94137E7}"/>
  </w:font>
  <w:font w:name="Consolas">
    <w:panose1 w:val="020B0609020204030204"/>
    <w:charset w:val="00"/>
    <w:family w:val="modern"/>
    <w:pitch w:val="fixed"/>
    <w:sig w:usb0="E00006FF" w:usb1="0000FCFF" w:usb2="00000001" w:usb3="00000000" w:csb0="0000019F" w:csb1="00000000"/>
    <w:embedRegular r:id="rId11" w:fontKey="{90704BEF-FB54-40CC-8C49-CCDA56321A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60215614"/>
      <w:docPartObj>
        <w:docPartGallery w:val="Page Numbers (Bottom of Page)"/>
        <w:docPartUnique/>
      </w:docPartObj>
    </w:sdtPr>
    <w:sdtEndPr>
      <w:rPr>
        <w:noProof/>
        <w:sz w:val="20"/>
        <w:szCs w:val="20"/>
      </w:rPr>
    </w:sdtEndPr>
    <w:sdtContent>
      <w:p w14:paraId="1DA4CBD2" w14:textId="5DECAAF6" w:rsidR="00260061" w:rsidRPr="009F5757" w:rsidRDefault="00260061">
        <w:pPr>
          <w:pStyle w:val="Footer"/>
          <w:jc w:val="right"/>
          <w:rPr>
            <w:rFonts w:asciiTheme="majorHAnsi" w:eastAsiaTheme="majorEastAsia" w:hAnsiTheme="majorHAnsi" w:cstheme="majorBidi"/>
            <w:sz w:val="20"/>
            <w:szCs w:val="20"/>
          </w:rPr>
        </w:pPr>
        <w:r w:rsidRPr="009F5757">
          <w:rPr>
            <w:rFonts w:asciiTheme="majorHAnsi" w:eastAsiaTheme="majorEastAsia" w:hAnsiTheme="majorHAnsi" w:cstheme="majorBidi"/>
            <w:sz w:val="20"/>
            <w:szCs w:val="20"/>
          </w:rPr>
          <w:t xml:space="preserve">pg. </w:t>
        </w:r>
        <w:r w:rsidRPr="009F5757">
          <w:rPr>
            <w:rFonts w:cs="Times New Roman"/>
            <w:sz w:val="20"/>
            <w:szCs w:val="20"/>
          </w:rPr>
          <w:fldChar w:fldCharType="begin"/>
        </w:r>
        <w:r w:rsidRPr="009F5757">
          <w:rPr>
            <w:sz w:val="20"/>
            <w:szCs w:val="20"/>
          </w:rPr>
          <w:instrText xml:space="preserve"> PAGE    \* MERGEFORMAT </w:instrText>
        </w:r>
        <w:r w:rsidRPr="009F5757">
          <w:rPr>
            <w:rFonts w:cs="Times New Roman"/>
            <w:sz w:val="20"/>
            <w:szCs w:val="20"/>
          </w:rPr>
          <w:fldChar w:fldCharType="separate"/>
        </w:r>
        <w:r w:rsidRPr="009F5757">
          <w:rPr>
            <w:rFonts w:asciiTheme="majorHAnsi" w:eastAsiaTheme="majorEastAsia" w:hAnsiTheme="majorHAnsi" w:cstheme="majorBidi"/>
            <w:noProof/>
            <w:sz w:val="20"/>
            <w:szCs w:val="20"/>
          </w:rPr>
          <w:t>2</w:t>
        </w:r>
        <w:r w:rsidRPr="009F5757">
          <w:rPr>
            <w:rFonts w:asciiTheme="majorHAnsi" w:eastAsiaTheme="majorEastAsia" w:hAnsiTheme="majorHAnsi" w:cstheme="majorBidi"/>
            <w:noProof/>
            <w:sz w:val="20"/>
            <w:szCs w:val="20"/>
          </w:rPr>
          <w:fldChar w:fldCharType="end"/>
        </w:r>
      </w:p>
    </w:sdtContent>
  </w:sdt>
  <w:p w14:paraId="3B5CE182" w14:textId="77777777" w:rsidR="00260061" w:rsidRDefault="00260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ayout w:type="fixed"/>
      <w:tblLook w:val="0480" w:firstRow="0" w:lastRow="0" w:firstColumn="1" w:lastColumn="0" w:noHBand="0" w:noVBand="1"/>
    </w:tblPr>
    <w:tblGrid>
      <w:gridCol w:w="9638"/>
    </w:tblGrid>
    <w:tr w:rsidR="0008226B" w:rsidRPr="000E13B1" w14:paraId="1819BBF5" w14:textId="77777777">
      <w:trPr>
        <w:trHeight w:val="340"/>
      </w:trPr>
      <w:tc>
        <w:tcPr>
          <w:tcW w:w="9638" w:type="dxa"/>
        </w:tcPr>
        <w:p w14:paraId="1A966E7F" w14:textId="77777777" w:rsidR="0008226B" w:rsidRPr="000E13B1" w:rsidRDefault="0008226B" w:rsidP="0008226B">
          <w:pPr>
            <w:pStyle w:val="Footer"/>
            <w:rPr>
              <w:color w:val="FFFFFF" w:themeColor="background1"/>
            </w:rPr>
          </w:pPr>
          <w:r w:rsidRPr="000E13B1">
            <w:t xml:space="preserve">Page </w:t>
          </w:r>
          <w:r w:rsidRPr="000E13B1">
            <w:fldChar w:fldCharType="begin"/>
          </w:r>
          <w:r w:rsidRPr="000E13B1">
            <w:instrText xml:space="preserve"> PAGE  \* Arabic </w:instrText>
          </w:r>
          <w:r w:rsidRPr="000E13B1">
            <w:fldChar w:fldCharType="separate"/>
          </w:r>
          <w:r w:rsidRPr="000E13B1">
            <w:t>2</w:t>
          </w:r>
          <w:r w:rsidRPr="000E13B1">
            <w:fldChar w:fldCharType="end"/>
          </w:r>
          <w:r w:rsidRPr="000E13B1">
            <w:t xml:space="preserve"> of </w:t>
          </w:r>
          <w:r w:rsidRPr="000E13B1">
            <w:fldChar w:fldCharType="begin"/>
          </w:r>
          <w:r w:rsidRPr="000E13B1">
            <w:instrText xml:space="preserve"> NUMPAGES  \# "0" \* Arabic </w:instrText>
          </w:r>
          <w:r w:rsidRPr="000E13B1">
            <w:fldChar w:fldCharType="separate"/>
          </w:r>
          <w:r w:rsidRPr="000E13B1">
            <w:t>3</w:t>
          </w:r>
          <w:r w:rsidRPr="000E13B1">
            <w:fldChar w:fldCharType="end"/>
          </w:r>
          <w:r w:rsidRPr="000E13B1">
            <w:t xml:space="preserve">  / Security Classification: </w:t>
          </w:r>
          <w:sdt>
            <w:sdtPr>
              <w:id w:val="1875729052"/>
              <w:showingPlcHdr/>
              <w:dropDownList>
                <w:listItem w:displayText="Public" w:value="Public"/>
                <w:listItem w:displayText="Internal" w:value="Internal"/>
                <w:listItem w:displayText="Confidential" w:value="Confidential"/>
                <w:listItem w:displayText="Commercial in Confidence" w:value="Commercial in Confidence"/>
                <w:listItem w:displayText="Protected Information" w:value="Protected Information"/>
              </w:dropDownList>
            </w:sdtPr>
            <w:sdtContent>
              <w:r w:rsidRPr="000E13B1">
                <w:rPr>
                  <w:rStyle w:val="PlaceholderText"/>
                </w:rPr>
                <w:t>&lt;select classification&gt;</w:t>
              </w:r>
            </w:sdtContent>
          </w:sdt>
          <w:r w:rsidRPr="000E13B1">
            <w:t xml:space="preserve">  / Distribution: </w:t>
          </w:r>
          <w:sdt>
            <w:sdtPr>
              <w:id w:val="1807820670"/>
              <w:showingPlcHdr/>
              <w:dropDownList>
                <w:listItem w:displayText="Public" w:value="Public"/>
                <w:listItem w:displayText="Internal" w:value="Internal"/>
                <w:listItem w:displayText="Confidential" w:value="Confidential"/>
                <w:listItem w:displayText="All Staff" w:value="All Staff"/>
              </w:dropDownList>
            </w:sdtPr>
            <w:sdtContent>
              <w:r w:rsidRPr="000E13B1">
                <w:rPr>
                  <w:rStyle w:val="PlaceholderText"/>
                </w:rPr>
                <w:t>&lt;enter distribution&gt;</w:t>
              </w:r>
            </w:sdtContent>
          </w:sdt>
          <w:r w:rsidRPr="000E13B1">
            <w:t xml:space="preserve">  / Version: </w:t>
          </w:r>
          <w:sdt>
            <w:sdtPr>
              <w:id w:val="1582481723"/>
              <w:showingPlcHdr/>
              <w:text/>
            </w:sdtPr>
            <w:sdtContent>
              <w:r w:rsidRPr="000E13B1">
                <w:rPr>
                  <w:rStyle w:val="PlaceholderText"/>
                </w:rPr>
                <w:t>&lt;enter #&gt;</w:t>
              </w:r>
            </w:sdtContent>
          </w:sdt>
        </w:p>
      </w:tc>
    </w:tr>
  </w:tbl>
  <w:p w14:paraId="2E4C53DD" w14:textId="77777777" w:rsidR="0008226B" w:rsidRPr="000E13B1" w:rsidRDefault="0008226B">
    <w:pPr>
      <w:pStyle w:val="Footer"/>
    </w:pPr>
  </w:p>
  <w:p w14:paraId="4139FF0E" w14:textId="77777777" w:rsidR="002E3CDF" w:rsidRPr="000E13B1" w:rsidRDefault="002E3C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80083" w14:textId="77777777" w:rsidR="00DD6FC1" w:rsidRPr="000E13B1" w:rsidRDefault="00DD6FC1" w:rsidP="002B06F3">
      <w:r w:rsidRPr="000E13B1">
        <w:separator/>
      </w:r>
    </w:p>
    <w:p w14:paraId="32D84AE0" w14:textId="77777777" w:rsidR="00DD6FC1" w:rsidRPr="000E13B1" w:rsidRDefault="00DD6FC1" w:rsidP="002B06F3"/>
    <w:p w14:paraId="2EBD5070" w14:textId="77777777" w:rsidR="00DD6FC1" w:rsidRPr="000E13B1" w:rsidRDefault="00DD6FC1"/>
  </w:footnote>
  <w:footnote w:type="continuationSeparator" w:id="0">
    <w:p w14:paraId="7F54915A" w14:textId="77777777" w:rsidR="00DD6FC1" w:rsidRPr="000E13B1" w:rsidRDefault="00DD6FC1" w:rsidP="002B06F3">
      <w:r w:rsidRPr="000E13B1">
        <w:continuationSeparator/>
      </w:r>
    </w:p>
    <w:p w14:paraId="6A592E64" w14:textId="77777777" w:rsidR="00DD6FC1" w:rsidRPr="000E13B1" w:rsidRDefault="00DD6FC1" w:rsidP="002B06F3"/>
    <w:p w14:paraId="7A55A68A" w14:textId="77777777" w:rsidR="00DD6FC1" w:rsidRPr="000E13B1" w:rsidRDefault="00DD6FC1"/>
  </w:footnote>
  <w:footnote w:type="continuationNotice" w:id="1">
    <w:p w14:paraId="1761F34D" w14:textId="77777777" w:rsidR="00DD6FC1" w:rsidRPr="000E13B1" w:rsidRDefault="00DD6FC1" w:rsidP="002B06F3"/>
    <w:p w14:paraId="23BF978F" w14:textId="77777777" w:rsidR="00DD6FC1" w:rsidRPr="000E13B1" w:rsidRDefault="00DD6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8184" w14:textId="6A4933F6" w:rsidR="00E13CA7" w:rsidRDefault="00243B4E">
    <w:pPr>
      <w:pStyle w:val="Header"/>
    </w:pPr>
    <w:r w:rsidRPr="00260EE7">
      <w:rPr>
        <w:noProof/>
      </w:rPr>
      <w:drawing>
        <wp:inline distT="0" distB="0" distL="0" distR="0" wp14:anchorId="155B658C" wp14:editId="6E536507">
          <wp:extent cx="1641600" cy="320400"/>
          <wp:effectExtent l="0" t="0" r="0" b="3810"/>
          <wp:docPr id="1738211541"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9153"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41600" cy="320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42" w:type="pct"/>
      <w:tblLayout w:type="fixed"/>
      <w:tblCellMar>
        <w:left w:w="0" w:type="dxa"/>
        <w:right w:w="0" w:type="dxa"/>
      </w:tblCellMar>
      <w:tblLook w:val="04A0" w:firstRow="1" w:lastRow="0" w:firstColumn="1" w:lastColumn="0" w:noHBand="0" w:noVBand="1"/>
    </w:tblPr>
    <w:tblGrid>
      <w:gridCol w:w="6663"/>
      <w:gridCol w:w="3056"/>
    </w:tblGrid>
    <w:tr w:rsidR="0008226B" w:rsidRPr="000E13B1" w14:paraId="633BE893" w14:textId="77777777">
      <w:trPr>
        <w:trHeight w:val="567"/>
      </w:trPr>
      <w:tc>
        <w:tcPr>
          <w:tcW w:w="6663" w:type="dxa"/>
          <w:vAlign w:val="center"/>
        </w:tcPr>
        <w:p w14:paraId="0F825F4E" w14:textId="77777777" w:rsidR="0008226B" w:rsidRPr="000E13B1" w:rsidRDefault="0008226B" w:rsidP="0008226B">
          <w:pPr>
            <w:pStyle w:val="Header"/>
            <w:rPr>
              <w:rFonts w:asciiTheme="majorHAnsi" w:hAnsiTheme="majorHAnsi" w:cstheme="majorHAnsi"/>
              <w:color w:val="203136" w:themeColor="accent1"/>
            </w:rPr>
          </w:pPr>
          <w:r w:rsidRPr="000E13B1">
            <w:rPr>
              <w:rFonts w:asciiTheme="majorHAnsi" w:hAnsiTheme="majorHAnsi" w:cstheme="majorHAnsi"/>
              <w:color w:val="203136" w:themeColor="accent1"/>
            </w:rPr>
            <w:fldChar w:fldCharType="begin"/>
          </w:r>
          <w:r w:rsidRPr="000E13B1">
            <w:rPr>
              <w:rFonts w:asciiTheme="majorHAnsi" w:hAnsiTheme="majorHAnsi" w:cstheme="majorHAnsi"/>
              <w:color w:val="203136" w:themeColor="accent1"/>
            </w:rPr>
            <w:instrText xml:space="preserve"> STYLEREF  Title </w:instrText>
          </w:r>
          <w:r w:rsidRPr="000E13B1">
            <w:rPr>
              <w:rFonts w:asciiTheme="majorHAnsi" w:hAnsiTheme="majorHAnsi" w:cstheme="majorHAnsi"/>
              <w:color w:val="203136" w:themeColor="accent1"/>
            </w:rPr>
            <w:fldChar w:fldCharType="separate"/>
          </w:r>
          <w:r w:rsidR="00127276" w:rsidRPr="000E13B1">
            <w:rPr>
              <w:rFonts w:asciiTheme="majorHAnsi" w:hAnsiTheme="majorHAnsi" w:cstheme="majorHAnsi"/>
              <w:color w:val="203136" w:themeColor="accent1"/>
            </w:rPr>
            <w:t>Report Title</w:t>
          </w:r>
          <w:r w:rsidR="00127276" w:rsidRPr="000E13B1">
            <w:rPr>
              <w:rFonts w:asciiTheme="majorHAnsi" w:hAnsiTheme="majorHAnsi" w:cstheme="majorHAnsi"/>
              <w:color w:val="203136" w:themeColor="accent1"/>
            </w:rPr>
            <w:br/>
            <w:t>Report Title line 2</w:t>
          </w:r>
          <w:r w:rsidRPr="000E13B1">
            <w:rPr>
              <w:rFonts w:asciiTheme="majorHAnsi" w:hAnsiTheme="majorHAnsi" w:cstheme="majorHAnsi"/>
              <w:color w:val="203136" w:themeColor="accent1"/>
            </w:rPr>
            <w:fldChar w:fldCharType="end"/>
          </w:r>
        </w:p>
      </w:tc>
      <w:tc>
        <w:tcPr>
          <w:tcW w:w="3056" w:type="dxa"/>
        </w:tcPr>
        <w:p w14:paraId="178EFAE5" w14:textId="77777777" w:rsidR="0008226B" w:rsidRPr="000E13B1" w:rsidRDefault="0008226B" w:rsidP="0008226B">
          <w:pPr>
            <w:pStyle w:val="Header"/>
            <w:jc w:val="right"/>
          </w:pPr>
          <w:r w:rsidRPr="000E13B1">
            <w:rPr>
              <w:noProof/>
            </w:rPr>
            <w:drawing>
              <wp:inline distT="0" distB="0" distL="0" distR="0" wp14:anchorId="286AC071" wp14:editId="226585E5">
                <wp:extent cx="1641600" cy="320400"/>
                <wp:effectExtent l="0" t="0" r="0" b="3810"/>
                <wp:docPr id="475819683"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9153"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41600" cy="320400"/>
                        </a:xfrm>
                        <a:prstGeom prst="rect">
                          <a:avLst/>
                        </a:prstGeom>
                      </pic:spPr>
                    </pic:pic>
                  </a:graphicData>
                </a:graphic>
              </wp:inline>
            </w:drawing>
          </w:r>
        </w:p>
      </w:tc>
    </w:tr>
  </w:tbl>
  <w:p w14:paraId="0C5630E3" w14:textId="77777777" w:rsidR="0008226B" w:rsidRPr="000E13B1" w:rsidRDefault="0008226B" w:rsidP="0008226B">
    <w:pPr>
      <w:pStyle w:val="Header"/>
    </w:pPr>
  </w:p>
  <w:p w14:paraId="619E3401" w14:textId="77777777" w:rsidR="002E3CDF" w:rsidRPr="000E13B1" w:rsidRDefault="002E3C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0311"/>
    <w:multiLevelType w:val="multilevel"/>
    <w:tmpl w:val="73806E7A"/>
    <w:lvl w:ilvl="0">
      <w:start w:val="1"/>
      <w:numFmt w:val="upperLetter"/>
      <w:pStyle w:val="Heading5"/>
      <w:lvlText w:val="APPENDIX.%1"/>
      <w:lvlJc w:val="left"/>
      <w:pPr>
        <w:ind w:left="284" w:hanging="284"/>
      </w:pPr>
      <w:rPr>
        <w:rFonts w:ascii="Arial" w:hAnsi="Arial" w:hint="default"/>
        <w:b/>
        <w:i w:val="0"/>
        <w:color w:val="000000"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6B4AC8"/>
    <w:multiLevelType w:val="multilevel"/>
    <w:tmpl w:val="20F22E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471B6"/>
    <w:multiLevelType w:val="multilevel"/>
    <w:tmpl w:val="5E78BF50"/>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3054E4A"/>
    <w:multiLevelType w:val="multilevel"/>
    <w:tmpl w:val="026EAF9E"/>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4877D7"/>
    <w:multiLevelType w:val="hybridMultilevel"/>
    <w:tmpl w:val="FFFFFFFF"/>
    <w:lvl w:ilvl="0" w:tplc="C37E3258">
      <w:start w:val="1"/>
      <w:numFmt w:val="bullet"/>
      <w:lvlText w:val=""/>
      <w:lvlJc w:val="left"/>
      <w:pPr>
        <w:ind w:left="720" w:hanging="360"/>
      </w:pPr>
      <w:rPr>
        <w:rFonts w:ascii="Symbol" w:hAnsi="Symbol" w:hint="default"/>
      </w:rPr>
    </w:lvl>
    <w:lvl w:ilvl="1" w:tplc="C6A8A2C8">
      <w:start w:val="1"/>
      <w:numFmt w:val="bullet"/>
      <w:lvlText w:val="o"/>
      <w:lvlJc w:val="left"/>
      <w:pPr>
        <w:ind w:left="1440" w:hanging="360"/>
      </w:pPr>
      <w:rPr>
        <w:rFonts w:ascii="Courier New" w:hAnsi="Courier New" w:hint="default"/>
      </w:rPr>
    </w:lvl>
    <w:lvl w:ilvl="2" w:tplc="420C4EB2">
      <w:start w:val="1"/>
      <w:numFmt w:val="bullet"/>
      <w:lvlText w:val=""/>
      <w:lvlJc w:val="left"/>
      <w:pPr>
        <w:ind w:left="2160" w:hanging="360"/>
      </w:pPr>
      <w:rPr>
        <w:rFonts w:ascii="Wingdings" w:hAnsi="Wingdings" w:hint="default"/>
      </w:rPr>
    </w:lvl>
    <w:lvl w:ilvl="3" w:tplc="9BAA6D0C">
      <w:start w:val="1"/>
      <w:numFmt w:val="bullet"/>
      <w:lvlText w:val=""/>
      <w:lvlJc w:val="left"/>
      <w:pPr>
        <w:ind w:left="2880" w:hanging="360"/>
      </w:pPr>
      <w:rPr>
        <w:rFonts w:ascii="Symbol" w:hAnsi="Symbol" w:hint="default"/>
      </w:rPr>
    </w:lvl>
    <w:lvl w:ilvl="4" w:tplc="D5B64F7C">
      <w:start w:val="1"/>
      <w:numFmt w:val="bullet"/>
      <w:lvlText w:val="o"/>
      <w:lvlJc w:val="left"/>
      <w:pPr>
        <w:ind w:left="3600" w:hanging="360"/>
      </w:pPr>
      <w:rPr>
        <w:rFonts w:ascii="Courier New" w:hAnsi="Courier New" w:hint="default"/>
      </w:rPr>
    </w:lvl>
    <w:lvl w:ilvl="5" w:tplc="B950C802">
      <w:start w:val="1"/>
      <w:numFmt w:val="bullet"/>
      <w:lvlText w:val=""/>
      <w:lvlJc w:val="left"/>
      <w:pPr>
        <w:ind w:left="4320" w:hanging="360"/>
      </w:pPr>
      <w:rPr>
        <w:rFonts w:ascii="Wingdings" w:hAnsi="Wingdings" w:hint="default"/>
      </w:rPr>
    </w:lvl>
    <w:lvl w:ilvl="6" w:tplc="771A7DC8">
      <w:start w:val="1"/>
      <w:numFmt w:val="bullet"/>
      <w:lvlText w:val=""/>
      <w:lvlJc w:val="left"/>
      <w:pPr>
        <w:ind w:left="5040" w:hanging="360"/>
      </w:pPr>
      <w:rPr>
        <w:rFonts w:ascii="Symbol" w:hAnsi="Symbol" w:hint="default"/>
      </w:rPr>
    </w:lvl>
    <w:lvl w:ilvl="7" w:tplc="EB362C38">
      <w:start w:val="1"/>
      <w:numFmt w:val="bullet"/>
      <w:lvlText w:val="o"/>
      <w:lvlJc w:val="left"/>
      <w:pPr>
        <w:ind w:left="5760" w:hanging="360"/>
      </w:pPr>
      <w:rPr>
        <w:rFonts w:ascii="Courier New" w:hAnsi="Courier New" w:hint="default"/>
      </w:rPr>
    </w:lvl>
    <w:lvl w:ilvl="8" w:tplc="C9484690">
      <w:start w:val="1"/>
      <w:numFmt w:val="bullet"/>
      <w:lvlText w:val=""/>
      <w:lvlJc w:val="left"/>
      <w:pPr>
        <w:ind w:left="6480" w:hanging="360"/>
      </w:pPr>
      <w:rPr>
        <w:rFonts w:ascii="Wingdings" w:hAnsi="Wingdings" w:hint="default"/>
      </w:rPr>
    </w:lvl>
  </w:abstractNum>
  <w:abstractNum w:abstractNumId="5" w15:restartNumberingAfterBreak="0">
    <w:nsid w:val="20BE4954"/>
    <w:multiLevelType w:val="multilevel"/>
    <w:tmpl w:val="DD86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FA7C19"/>
    <w:multiLevelType w:val="hybridMultilevel"/>
    <w:tmpl w:val="5D840A28"/>
    <w:lvl w:ilvl="0" w:tplc="150AA43A">
      <w:start w:val="1"/>
      <w:numFmt w:val="decimal"/>
      <w:lvlText w:val="%1."/>
      <w:lvlJc w:val="left"/>
      <w:pPr>
        <w:ind w:left="720" w:hanging="360"/>
      </w:pPr>
    </w:lvl>
    <w:lvl w:ilvl="1" w:tplc="D102EF1E">
      <w:start w:val="1"/>
      <w:numFmt w:val="lowerLetter"/>
      <w:lvlText w:val="%2."/>
      <w:lvlJc w:val="left"/>
      <w:pPr>
        <w:ind w:left="1440" w:hanging="360"/>
      </w:pPr>
    </w:lvl>
    <w:lvl w:ilvl="2" w:tplc="FA3681AC">
      <w:start w:val="1"/>
      <w:numFmt w:val="lowerRoman"/>
      <w:lvlText w:val="%3."/>
      <w:lvlJc w:val="right"/>
      <w:pPr>
        <w:ind w:left="2160" w:hanging="180"/>
      </w:pPr>
    </w:lvl>
    <w:lvl w:ilvl="3" w:tplc="2CC02E8C">
      <w:start w:val="1"/>
      <w:numFmt w:val="decimal"/>
      <w:lvlText w:val="%4."/>
      <w:lvlJc w:val="left"/>
      <w:pPr>
        <w:ind w:left="2880" w:hanging="360"/>
      </w:pPr>
    </w:lvl>
    <w:lvl w:ilvl="4" w:tplc="40206B10">
      <w:start w:val="1"/>
      <w:numFmt w:val="lowerLetter"/>
      <w:lvlText w:val="%5."/>
      <w:lvlJc w:val="left"/>
      <w:pPr>
        <w:ind w:left="3600" w:hanging="360"/>
      </w:pPr>
    </w:lvl>
    <w:lvl w:ilvl="5" w:tplc="ACA60F48">
      <w:start w:val="1"/>
      <w:numFmt w:val="lowerRoman"/>
      <w:lvlText w:val="%6."/>
      <w:lvlJc w:val="right"/>
      <w:pPr>
        <w:ind w:left="4320" w:hanging="180"/>
      </w:pPr>
    </w:lvl>
    <w:lvl w:ilvl="6" w:tplc="A2A072CC">
      <w:start w:val="1"/>
      <w:numFmt w:val="decimal"/>
      <w:lvlText w:val="%7."/>
      <w:lvlJc w:val="left"/>
      <w:pPr>
        <w:ind w:left="5040" w:hanging="360"/>
      </w:pPr>
    </w:lvl>
    <w:lvl w:ilvl="7" w:tplc="6FA69BEA">
      <w:start w:val="1"/>
      <w:numFmt w:val="lowerLetter"/>
      <w:lvlText w:val="%8."/>
      <w:lvlJc w:val="left"/>
      <w:pPr>
        <w:ind w:left="5760" w:hanging="360"/>
      </w:pPr>
    </w:lvl>
    <w:lvl w:ilvl="8" w:tplc="F5F43C80">
      <w:start w:val="1"/>
      <w:numFmt w:val="lowerRoman"/>
      <w:lvlText w:val="%9."/>
      <w:lvlJc w:val="right"/>
      <w:pPr>
        <w:ind w:left="6480" w:hanging="180"/>
      </w:pPr>
    </w:lvl>
  </w:abstractNum>
  <w:abstractNum w:abstractNumId="7" w15:restartNumberingAfterBreak="0">
    <w:nsid w:val="2D890E47"/>
    <w:multiLevelType w:val="hybridMultilevel"/>
    <w:tmpl w:val="253E1CA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354E3F"/>
    <w:multiLevelType w:val="multilevel"/>
    <w:tmpl w:val="C8C4A0C4"/>
    <w:lvl w:ilvl="0">
      <w:start w:val="2"/>
      <w:numFmt w:val="decimal"/>
      <w:lvlText w:val="%1."/>
      <w:lvlJc w:val="left"/>
      <w:pPr>
        <w:ind w:left="360" w:hanging="360"/>
      </w:pPr>
      <w:rPr>
        <w:rFonts w:eastAsiaTheme="majorEastAsia" w:cs="Times New Roman" w:hint="default"/>
        <w:sz w:val="28"/>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9" w15:restartNumberingAfterBreak="0">
    <w:nsid w:val="31DA4666"/>
    <w:multiLevelType w:val="multilevel"/>
    <w:tmpl w:val="3476DE6E"/>
    <w:styleLink w:val="Bullets"/>
    <w:lvl w:ilvl="0">
      <w:start w:val="1"/>
      <w:numFmt w:val="bullet"/>
      <w:pStyle w:val="ListBullet"/>
      <w:lvlText w:val=""/>
      <w:lvlJc w:val="left"/>
      <w:pPr>
        <w:ind w:left="340" w:hanging="340"/>
      </w:pPr>
      <w:rPr>
        <w:rFonts w:ascii="Wingdings" w:hAnsi="Wingdings" w:hint="default"/>
        <w:b w:val="0"/>
        <w:i w:val="0"/>
        <w:color w:val="auto"/>
        <w:sz w:val="22"/>
      </w:rPr>
    </w:lvl>
    <w:lvl w:ilvl="1">
      <w:start w:val="1"/>
      <w:numFmt w:val="bullet"/>
      <w:pStyle w:val="ListBullet2"/>
      <w:lvlText w:val=""/>
      <w:lvlJc w:val="left"/>
      <w:pPr>
        <w:ind w:left="680" w:hanging="340"/>
      </w:pPr>
      <w:rPr>
        <w:rFonts w:ascii="Symbol" w:hAnsi="Symbol" w:hint="default"/>
        <w:color w:val="auto"/>
      </w:rPr>
    </w:lvl>
    <w:lvl w:ilvl="2">
      <w:start w:val="1"/>
      <w:numFmt w:val="bullet"/>
      <w:pStyle w:val="ListBullet3"/>
      <w:lvlText w:val=""/>
      <w:lvlJc w:val="left"/>
      <w:pPr>
        <w:ind w:left="1021" w:hanging="341"/>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2E1258E"/>
    <w:multiLevelType w:val="multilevel"/>
    <w:tmpl w:val="D726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4D0B0C"/>
    <w:multiLevelType w:val="hybridMultilevel"/>
    <w:tmpl w:val="7F346FBE"/>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D180DEC"/>
    <w:multiLevelType w:val="multilevel"/>
    <w:tmpl w:val="B5F8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13534E"/>
    <w:multiLevelType w:val="multilevel"/>
    <w:tmpl w:val="0CD6E222"/>
    <w:styleLink w:val="TableNumbers"/>
    <w:lvl w:ilvl="0">
      <w:start w:val="1"/>
      <w:numFmt w:val="decimal"/>
      <w:pStyle w:val="TableListNumber"/>
      <w:lvlText w:val="%1."/>
      <w:lvlJc w:val="left"/>
      <w:pPr>
        <w:ind w:left="227" w:hanging="227"/>
      </w:pPr>
      <w:rPr>
        <w:rFonts w:hint="default"/>
      </w:rPr>
    </w:lvl>
    <w:lvl w:ilvl="1">
      <w:start w:val="1"/>
      <w:numFmt w:val="lowerLetter"/>
      <w:pStyle w:val="TableListNumber2"/>
      <w:lvlText w:val="%2."/>
      <w:lvlJc w:val="left"/>
      <w:pPr>
        <w:ind w:left="454" w:hanging="227"/>
      </w:pPr>
      <w:rPr>
        <w:rFonts w:hint="default"/>
      </w:rPr>
    </w:lvl>
    <w:lvl w:ilvl="2">
      <w:start w:val="1"/>
      <w:numFmt w:val="lowerRoman"/>
      <w:pStyle w:val="TableListNumber3"/>
      <w:lvlText w:val="%3."/>
      <w:lvlJc w:val="left"/>
      <w:pPr>
        <w:ind w:left="680" w:hanging="226"/>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08F6481"/>
    <w:multiLevelType w:val="multilevel"/>
    <w:tmpl w:val="FDD2F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E50923"/>
    <w:multiLevelType w:val="hybridMultilevel"/>
    <w:tmpl w:val="6C06C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EB5624"/>
    <w:multiLevelType w:val="hybridMultilevel"/>
    <w:tmpl w:val="FFFFFFFF"/>
    <w:lvl w:ilvl="0" w:tplc="505C4D24">
      <w:start w:val="1"/>
      <w:numFmt w:val="bullet"/>
      <w:lvlText w:val=""/>
      <w:lvlJc w:val="left"/>
      <w:pPr>
        <w:ind w:left="720" w:hanging="360"/>
      </w:pPr>
      <w:rPr>
        <w:rFonts w:ascii="Symbol" w:hAnsi="Symbol" w:hint="default"/>
      </w:rPr>
    </w:lvl>
    <w:lvl w:ilvl="1" w:tplc="B7443052">
      <w:start w:val="1"/>
      <w:numFmt w:val="bullet"/>
      <w:lvlText w:val="o"/>
      <w:lvlJc w:val="left"/>
      <w:pPr>
        <w:ind w:left="1440" w:hanging="360"/>
      </w:pPr>
      <w:rPr>
        <w:rFonts w:ascii="Courier New" w:hAnsi="Courier New" w:hint="default"/>
      </w:rPr>
    </w:lvl>
    <w:lvl w:ilvl="2" w:tplc="21E019AA">
      <w:start w:val="1"/>
      <w:numFmt w:val="bullet"/>
      <w:lvlText w:val=""/>
      <w:lvlJc w:val="left"/>
      <w:pPr>
        <w:ind w:left="2160" w:hanging="360"/>
      </w:pPr>
      <w:rPr>
        <w:rFonts w:ascii="Wingdings" w:hAnsi="Wingdings" w:hint="default"/>
      </w:rPr>
    </w:lvl>
    <w:lvl w:ilvl="3" w:tplc="00949514">
      <w:start w:val="1"/>
      <w:numFmt w:val="bullet"/>
      <w:lvlText w:val=""/>
      <w:lvlJc w:val="left"/>
      <w:pPr>
        <w:ind w:left="2880" w:hanging="360"/>
      </w:pPr>
      <w:rPr>
        <w:rFonts w:ascii="Symbol" w:hAnsi="Symbol" w:hint="default"/>
      </w:rPr>
    </w:lvl>
    <w:lvl w:ilvl="4" w:tplc="8FB8EE0C">
      <w:start w:val="1"/>
      <w:numFmt w:val="bullet"/>
      <w:lvlText w:val="o"/>
      <w:lvlJc w:val="left"/>
      <w:pPr>
        <w:ind w:left="3600" w:hanging="360"/>
      </w:pPr>
      <w:rPr>
        <w:rFonts w:ascii="Courier New" w:hAnsi="Courier New" w:hint="default"/>
      </w:rPr>
    </w:lvl>
    <w:lvl w:ilvl="5" w:tplc="EC52A16C">
      <w:start w:val="1"/>
      <w:numFmt w:val="bullet"/>
      <w:lvlText w:val=""/>
      <w:lvlJc w:val="left"/>
      <w:pPr>
        <w:ind w:left="4320" w:hanging="360"/>
      </w:pPr>
      <w:rPr>
        <w:rFonts w:ascii="Wingdings" w:hAnsi="Wingdings" w:hint="default"/>
      </w:rPr>
    </w:lvl>
    <w:lvl w:ilvl="6" w:tplc="34503C48">
      <w:start w:val="1"/>
      <w:numFmt w:val="bullet"/>
      <w:lvlText w:val=""/>
      <w:lvlJc w:val="left"/>
      <w:pPr>
        <w:ind w:left="5040" w:hanging="360"/>
      </w:pPr>
      <w:rPr>
        <w:rFonts w:ascii="Symbol" w:hAnsi="Symbol" w:hint="default"/>
      </w:rPr>
    </w:lvl>
    <w:lvl w:ilvl="7" w:tplc="252C54DE">
      <w:start w:val="1"/>
      <w:numFmt w:val="bullet"/>
      <w:lvlText w:val="o"/>
      <w:lvlJc w:val="left"/>
      <w:pPr>
        <w:ind w:left="5760" w:hanging="360"/>
      </w:pPr>
      <w:rPr>
        <w:rFonts w:ascii="Courier New" w:hAnsi="Courier New" w:hint="default"/>
      </w:rPr>
    </w:lvl>
    <w:lvl w:ilvl="8" w:tplc="2A7E6798">
      <w:start w:val="1"/>
      <w:numFmt w:val="bullet"/>
      <w:lvlText w:val=""/>
      <w:lvlJc w:val="left"/>
      <w:pPr>
        <w:ind w:left="6480" w:hanging="360"/>
      </w:pPr>
      <w:rPr>
        <w:rFonts w:ascii="Wingdings" w:hAnsi="Wingdings" w:hint="default"/>
      </w:rPr>
    </w:lvl>
  </w:abstractNum>
  <w:abstractNum w:abstractNumId="17" w15:restartNumberingAfterBreak="0">
    <w:nsid w:val="4FB04D13"/>
    <w:multiLevelType w:val="multilevel"/>
    <w:tmpl w:val="3476DE6E"/>
    <w:numStyleLink w:val="Bullets"/>
  </w:abstractNum>
  <w:abstractNum w:abstractNumId="18" w15:restartNumberingAfterBreak="0">
    <w:nsid w:val="52776987"/>
    <w:multiLevelType w:val="multilevel"/>
    <w:tmpl w:val="4388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B61790"/>
    <w:multiLevelType w:val="hybridMultilevel"/>
    <w:tmpl w:val="FFFFFFFF"/>
    <w:lvl w:ilvl="0" w:tplc="706A2644">
      <w:start w:val="1"/>
      <w:numFmt w:val="bullet"/>
      <w:lvlText w:val=""/>
      <w:lvlJc w:val="left"/>
      <w:pPr>
        <w:ind w:left="720" w:hanging="360"/>
      </w:pPr>
      <w:rPr>
        <w:rFonts w:ascii="Symbol" w:hAnsi="Symbol" w:hint="default"/>
      </w:rPr>
    </w:lvl>
    <w:lvl w:ilvl="1" w:tplc="758E58C8">
      <w:start w:val="1"/>
      <w:numFmt w:val="bullet"/>
      <w:lvlText w:val="o"/>
      <w:lvlJc w:val="left"/>
      <w:pPr>
        <w:ind w:left="1440" w:hanging="360"/>
      </w:pPr>
      <w:rPr>
        <w:rFonts w:ascii="Courier New" w:hAnsi="Courier New" w:hint="default"/>
      </w:rPr>
    </w:lvl>
    <w:lvl w:ilvl="2" w:tplc="465CA50E">
      <w:start w:val="1"/>
      <w:numFmt w:val="bullet"/>
      <w:lvlText w:val=""/>
      <w:lvlJc w:val="left"/>
      <w:pPr>
        <w:ind w:left="2160" w:hanging="360"/>
      </w:pPr>
      <w:rPr>
        <w:rFonts w:ascii="Wingdings" w:hAnsi="Wingdings" w:hint="default"/>
      </w:rPr>
    </w:lvl>
    <w:lvl w:ilvl="3" w:tplc="A6CC4A5E">
      <w:start w:val="1"/>
      <w:numFmt w:val="bullet"/>
      <w:lvlText w:val=""/>
      <w:lvlJc w:val="left"/>
      <w:pPr>
        <w:ind w:left="2880" w:hanging="360"/>
      </w:pPr>
      <w:rPr>
        <w:rFonts w:ascii="Symbol" w:hAnsi="Symbol" w:hint="default"/>
      </w:rPr>
    </w:lvl>
    <w:lvl w:ilvl="4" w:tplc="5BAA2628">
      <w:start w:val="1"/>
      <w:numFmt w:val="bullet"/>
      <w:lvlText w:val="o"/>
      <w:lvlJc w:val="left"/>
      <w:pPr>
        <w:ind w:left="3600" w:hanging="360"/>
      </w:pPr>
      <w:rPr>
        <w:rFonts w:ascii="Courier New" w:hAnsi="Courier New" w:hint="default"/>
      </w:rPr>
    </w:lvl>
    <w:lvl w:ilvl="5" w:tplc="123CDCB8">
      <w:start w:val="1"/>
      <w:numFmt w:val="bullet"/>
      <w:lvlText w:val=""/>
      <w:lvlJc w:val="left"/>
      <w:pPr>
        <w:ind w:left="4320" w:hanging="360"/>
      </w:pPr>
      <w:rPr>
        <w:rFonts w:ascii="Wingdings" w:hAnsi="Wingdings" w:hint="default"/>
      </w:rPr>
    </w:lvl>
    <w:lvl w:ilvl="6" w:tplc="0044A94E">
      <w:start w:val="1"/>
      <w:numFmt w:val="bullet"/>
      <w:lvlText w:val=""/>
      <w:lvlJc w:val="left"/>
      <w:pPr>
        <w:ind w:left="5040" w:hanging="360"/>
      </w:pPr>
      <w:rPr>
        <w:rFonts w:ascii="Symbol" w:hAnsi="Symbol" w:hint="default"/>
      </w:rPr>
    </w:lvl>
    <w:lvl w:ilvl="7" w:tplc="B87E3BA0">
      <w:start w:val="1"/>
      <w:numFmt w:val="bullet"/>
      <w:lvlText w:val="o"/>
      <w:lvlJc w:val="left"/>
      <w:pPr>
        <w:ind w:left="5760" w:hanging="360"/>
      </w:pPr>
      <w:rPr>
        <w:rFonts w:ascii="Courier New" w:hAnsi="Courier New" w:hint="default"/>
      </w:rPr>
    </w:lvl>
    <w:lvl w:ilvl="8" w:tplc="E5E879CE">
      <w:start w:val="1"/>
      <w:numFmt w:val="bullet"/>
      <w:lvlText w:val=""/>
      <w:lvlJc w:val="left"/>
      <w:pPr>
        <w:ind w:left="6480" w:hanging="360"/>
      </w:pPr>
      <w:rPr>
        <w:rFonts w:ascii="Wingdings" w:hAnsi="Wingdings" w:hint="default"/>
      </w:rPr>
    </w:lvl>
  </w:abstractNum>
  <w:abstractNum w:abstractNumId="20" w15:restartNumberingAfterBreak="0">
    <w:nsid w:val="54AA5887"/>
    <w:multiLevelType w:val="multilevel"/>
    <w:tmpl w:val="45402EF2"/>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bullet"/>
      <w:pStyle w:val="TableBullet2"/>
      <w:lvlText w:val=""/>
      <w:lvlJc w:val="left"/>
      <w:pPr>
        <w:ind w:left="454" w:hanging="227"/>
      </w:pPr>
      <w:rPr>
        <w:rFonts w:ascii="Symbol" w:hAnsi="Symbol" w:hint="default"/>
        <w:color w:val="auto"/>
      </w:rPr>
    </w:lvl>
    <w:lvl w:ilvl="2">
      <w:start w:val="1"/>
      <w:numFmt w:val="bullet"/>
      <w:pStyle w:val="TableBullet3"/>
      <w:lvlText w:val=""/>
      <w:lvlJc w:val="left"/>
      <w:pPr>
        <w:ind w:left="680" w:hanging="226"/>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4E1086B"/>
    <w:multiLevelType w:val="multilevel"/>
    <w:tmpl w:val="C0E0F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EB73DE"/>
    <w:multiLevelType w:val="multilevel"/>
    <w:tmpl w:val="B442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532161"/>
    <w:multiLevelType w:val="hybridMultilevel"/>
    <w:tmpl w:val="58DC6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511D1"/>
    <w:multiLevelType w:val="multilevel"/>
    <w:tmpl w:val="49BE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C6256B"/>
    <w:multiLevelType w:val="multilevel"/>
    <w:tmpl w:val="A1BAFB3C"/>
    <w:styleLink w:val="AppendixHeading"/>
    <w:lvl w:ilvl="0">
      <w:start w:val="1"/>
      <w:numFmt w:val="upperLetter"/>
      <w:pStyle w:val="Appendix"/>
      <w:lvlText w:val="Appendix %1"/>
      <w:lvlJc w:val="left"/>
      <w:pPr>
        <w:ind w:left="1701" w:hanging="1701"/>
      </w:pPr>
      <w:rPr>
        <w:rFonts w:hint="default"/>
      </w:rPr>
    </w:lvl>
    <w:lvl w:ilvl="1">
      <w:start w:val="1"/>
      <w:numFmt w:val="decimal"/>
      <w:pStyle w:val="AppendixSubheading"/>
      <w:lvlText w:val="%1.%2"/>
      <w:lvlJc w:val="left"/>
      <w:pPr>
        <w:ind w:left="680" w:hanging="68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6E0711C"/>
    <w:multiLevelType w:val="multilevel"/>
    <w:tmpl w:val="FB5C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9E5CB0"/>
    <w:multiLevelType w:val="multilevel"/>
    <w:tmpl w:val="2AF0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AB190D"/>
    <w:multiLevelType w:val="multilevel"/>
    <w:tmpl w:val="7F8A7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E4130"/>
    <w:multiLevelType w:val="hybridMultilevel"/>
    <w:tmpl w:val="4DEE25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F640C1"/>
    <w:multiLevelType w:val="multilevel"/>
    <w:tmpl w:val="564E3F7A"/>
    <w:styleLink w:val="NumberedHeadings"/>
    <w:lvl w:ilvl="0">
      <w:start w:val="1"/>
      <w:numFmt w:val="decimal"/>
      <w:pStyle w:val="Heading1Numbered"/>
      <w:lvlText w:val="%1"/>
      <w:lvlJc w:val="left"/>
      <w:pPr>
        <w:ind w:left="680" w:hanging="680"/>
      </w:pPr>
      <w:rPr>
        <w:rFonts w:hint="default"/>
        <w:color w:val="889EA6" w:themeColor="accent4"/>
      </w:rPr>
    </w:lvl>
    <w:lvl w:ilvl="1">
      <w:start w:val="1"/>
      <w:numFmt w:val="decimal"/>
      <w:pStyle w:val="Heading2Numbered"/>
      <w:lvlText w:val="%1.%2"/>
      <w:lvlJc w:val="left"/>
      <w:pPr>
        <w:ind w:left="680" w:hanging="680"/>
      </w:pPr>
      <w:rPr>
        <w:rFonts w:hint="default"/>
        <w:color w:val="D5C8B6" w:themeColor="accent3"/>
      </w:rPr>
    </w:lvl>
    <w:lvl w:ilvl="2">
      <w:start w:val="1"/>
      <w:numFmt w:val="decimal"/>
      <w:pStyle w:val="Heading3Numbered"/>
      <w:lvlText w:val="%1.%2.%3"/>
      <w:lvlJc w:val="left"/>
      <w:pPr>
        <w:ind w:left="680" w:hanging="680"/>
      </w:pPr>
      <w:rPr>
        <w:rFonts w:hint="default"/>
        <w:color w:val="B8D0EC" w:themeColor="accent5"/>
      </w:rPr>
    </w:lvl>
    <w:lvl w:ilvl="3">
      <w:start w:val="1"/>
      <w:numFmt w:val="none"/>
      <w:lvlText w:val=""/>
      <w:lvlJc w:val="left"/>
      <w:pPr>
        <w:tabs>
          <w:tab w:val="num" w:pos="851"/>
        </w:tabs>
        <w:ind w:left="0" w:firstLine="0"/>
      </w:pPr>
      <w:rPr>
        <w:rFonts w:hint="default"/>
        <w:color w:val="979BC0"/>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1" w15:restartNumberingAfterBreak="0">
    <w:nsid w:val="78646B57"/>
    <w:multiLevelType w:val="multilevel"/>
    <w:tmpl w:val="ED6602CE"/>
    <w:styleLink w:val="ClientBullets"/>
    <w:lvl w:ilvl="0">
      <w:start w:val="1"/>
      <w:numFmt w:val="decimal"/>
      <w:lvlText w:val="%1."/>
      <w:lvlJc w:val="left"/>
      <w:pPr>
        <w:ind w:left="1060" w:hanging="357"/>
      </w:pPr>
      <w:rPr>
        <w:rFonts w:asciiTheme="majorHAnsi" w:hAnsiTheme="majorHAnsi" w:hint="default"/>
        <w:b/>
        <w:i w:val="0"/>
        <w:color w:val="D5C8B6" w:themeColor="accent3"/>
        <w:sz w:val="22"/>
      </w:rPr>
    </w:lvl>
    <w:lvl w:ilvl="1">
      <w:start w:val="1"/>
      <w:numFmt w:val="lowerLetter"/>
      <w:lvlText w:val="%2."/>
      <w:lvlJc w:val="left"/>
      <w:pPr>
        <w:ind w:left="1684" w:hanging="357"/>
      </w:pPr>
      <w:rPr>
        <w:rFonts w:asciiTheme="majorHAnsi" w:hAnsiTheme="majorHAnsi" w:hint="default"/>
        <w:b w:val="0"/>
        <w:i w:val="0"/>
        <w:color w:val="D5C8B6" w:themeColor="accent3"/>
        <w:sz w:val="22"/>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790D34E2"/>
    <w:multiLevelType w:val="multilevel"/>
    <w:tmpl w:val="0882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B352C1"/>
    <w:multiLevelType w:val="multilevel"/>
    <w:tmpl w:val="2BB62ACC"/>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tabs>
          <w:tab w:val="num" w:pos="340"/>
        </w:tabs>
        <w:ind w:left="680" w:hanging="340"/>
      </w:pPr>
      <w:rPr>
        <w:rFonts w:hint="default"/>
      </w:rPr>
    </w:lvl>
    <w:lvl w:ilvl="2">
      <w:start w:val="1"/>
      <w:numFmt w:val="lowerRoman"/>
      <w:pStyle w:val="ListNumber3"/>
      <w:lvlText w:val="%3."/>
      <w:lvlJc w:val="left"/>
      <w:pPr>
        <w:tabs>
          <w:tab w:val="num" w:pos="680"/>
        </w:tabs>
        <w:ind w:left="1021" w:hanging="341"/>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16cid:durableId="157040114">
    <w:abstractNumId w:val="9"/>
  </w:num>
  <w:num w:numId="2" w16cid:durableId="1349520738">
    <w:abstractNumId w:val="30"/>
  </w:num>
  <w:num w:numId="3" w16cid:durableId="323512949">
    <w:abstractNumId w:val="33"/>
  </w:num>
  <w:num w:numId="4" w16cid:durableId="41176576">
    <w:abstractNumId w:val="25"/>
  </w:num>
  <w:num w:numId="5" w16cid:durableId="1343707023">
    <w:abstractNumId w:val="13"/>
  </w:num>
  <w:num w:numId="6" w16cid:durableId="664480972">
    <w:abstractNumId w:val="20"/>
  </w:num>
  <w:num w:numId="7" w16cid:durableId="1959602081">
    <w:abstractNumId w:val="25"/>
  </w:num>
  <w:num w:numId="8" w16cid:durableId="1596933582">
    <w:abstractNumId w:val="0"/>
  </w:num>
  <w:num w:numId="9" w16cid:durableId="1113403580">
    <w:abstractNumId w:val="17"/>
  </w:num>
  <w:num w:numId="10" w16cid:durableId="631519909">
    <w:abstractNumId w:val="3"/>
  </w:num>
  <w:num w:numId="11" w16cid:durableId="1628929621">
    <w:abstractNumId w:val="33"/>
  </w:num>
  <w:num w:numId="12" w16cid:durableId="1695692895">
    <w:abstractNumId w:val="30"/>
    <w:lvlOverride w:ilvl="0">
      <w:lvl w:ilvl="0">
        <w:start w:val="1"/>
        <w:numFmt w:val="decimal"/>
        <w:pStyle w:val="Heading1Numbered"/>
        <w:lvlText w:val="%1"/>
        <w:lvlJc w:val="left"/>
        <w:pPr>
          <w:ind w:left="680" w:hanging="680"/>
        </w:pPr>
        <w:rPr>
          <w:rFonts w:hint="default"/>
          <w:color w:val="000000" w:themeColor="text1"/>
        </w:rPr>
      </w:lvl>
    </w:lvlOverride>
    <w:lvlOverride w:ilvl="1">
      <w:lvl w:ilvl="1">
        <w:start w:val="1"/>
        <w:numFmt w:val="decimal"/>
        <w:pStyle w:val="Heading2Numbered"/>
        <w:lvlText w:val="%1.%2"/>
        <w:lvlJc w:val="left"/>
        <w:pPr>
          <w:ind w:left="680" w:hanging="680"/>
        </w:pPr>
        <w:rPr>
          <w:rFonts w:hint="default"/>
          <w:color w:val="D5C8B6" w:themeColor="accent3"/>
          <w:sz w:val="24"/>
          <w:szCs w:val="24"/>
        </w:rPr>
      </w:lvl>
    </w:lvlOverride>
  </w:num>
  <w:num w:numId="13" w16cid:durableId="1159272954">
    <w:abstractNumId w:val="2"/>
  </w:num>
  <w:num w:numId="14" w16cid:durableId="1775053950">
    <w:abstractNumId w:val="7"/>
  </w:num>
  <w:num w:numId="15" w16cid:durableId="1822884776">
    <w:abstractNumId w:val="20"/>
  </w:num>
  <w:num w:numId="16" w16cid:durableId="42608066">
    <w:abstractNumId w:val="13"/>
  </w:num>
  <w:num w:numId="17" w16cid:durableId="1068115695">
    <w:abstractNumId w:val="31"/>
  </w:num>
  <w:num w:numId="18" w16cid:durableId="2108884494">
    <w:abstractNumId w:val="8"/>
  </w:num>
  <w:num w:numId="19" w16cid:durableId="1708412924">
    <w:abstractNumId w:val="14"/>
  </w:num>
  <w:num w:numId="20" w16cid:durableId="1106270016">
    <w:abstractNumId w:val="32"/>
  </w:num>
  <w:num w:numId="21" w16cid:durableId="1360468200">
    <w:abstractNumId w:val="27"/>
  </w:num>
  <w:num w:numId="22" w16cid:durableId="262569146">
    <w:abstractNumId w:val="11"/>
  </w:num>
  <w:num w:numId="23" w16cid:durableId="793327841">
    <w:abstractNumId w:val="1"/>
  </w:num>
  <w:num w:numId="24" w16cid:durableId="1875776270">
    <w:abstractNumId w:val="22"/>
  </w:num>
  <w:num w:numId="25" w16cid:durableId="184557881">
    <w:abstractNumId w:val="12"/>
  </w:num>
  <w:num w:numId="26" w16cid:durableId="621807227">
    <w:abstractNumId w:val="18"/>
  </w:num>
  <w:num w:numId="27" w16cid:durableId="2147383376">
    <w:abstractNumId w:val="24"/>
  </w:num>
  <w:num w:numId="28" w16cid:durableId="1039016653">
    <w:abstractNumId w:val="26"/>
  </w:num>
  <w:num w:numId="29" w16cid:durableId="450979637">
    <w:abstractNumId w:val="21"/>
  </w:num>
  <w:num w:numId="30" w16cid:durableId="1422336451">
    <w:abstractNumId w:val="10"/>
  </w:num>
  <w:num w:numId="31" w16cid:durableId="1438065115">
    <w:abstractNumId w:val="5"/>
  </w:num>
  <w:num w:numId="32" w16cid:durableId="663552569">
    <w:abstractNumId w:val="6"/>
  </w:num>
  <w:num w:numId="33" w16cid:durableId="1411459799">
    <w:abstractNumId w:val="29"/>
  </w:num>
  <w:num w:numId="34" w16cid:durableId="826244083">
    <w:abstractNumId w:val="23"/>
  </w:num>
  <w:num w:numId="35" w16cid:durableId="1917519843">
    <w:abstractNumId w:val="15"/>
  </w:num>
  <w:num w:numId="36" w16cid:durableId="1997340950">
    <w:abstractNumId w:val="19"/>
  </w:num>
  <w:num w:numId="37" w16cid:durableId="909189719">
    <w:abstractNumId w:val="16"/>
  </w:num>
  <w:num w:numId="38" w16cid:durableId="269358944">
    <w:abstractNumId w:val="4"/>
  </w:num>
  <w:num w:numId="39" w16cid:durableId="1869291036">
    <w:abstractNumId w:val="28"/>
  </w:num>
  <w:num w:numId="40" w16cid:durableId="338122604">
    <w:abstractNumId w:val="30"/>
    <w:lvlOverride w:ilvl="0">
      <w:lvl w:ilvl="0">
        <w:start w:val="1"/>
        <w:numFmt w:val="decimal"/>
        <w:pStyle w:val="Heading1Numbered"/>
        <w:lvlText w:val="%1"/>
        <w:lvlJc w:val="left"/>
        <w:pPr>
          <w:ind w:left="680" w:hanging="680"/>
        </w:pPr>
        <w:rPr>
          <w:rFonts w:hint="default"/>
          <w:color w:val="000000" w:themeColor="text1"/>
        </w:rPr>
      </w:lvl>
    </w:lvlOverride>
    <w:lvlOverride w:ilvl="1">
      <w:lvl w:ilvl="1">
        <w:start w:val="1"/>
        <w:numFmt w:val="decimal"/>
        <w:pStyle w:val="Heading2Numbered"/>
        <w:lvlText w:val="%1.%2"/>
        <w:lvlJc w:val="left"/>
        <w:pPr>
          <w:ind w:left="680" w:hanging="680"/>
        </w:pPr>
        <w:rPr>
          <w:rFonts w:hint="default"/>
          <w:color w:val="D5C8B6" w:themeColor="accent3"/>
          <w:sz w:val="24"/>
          <w:szCs w:val="24"/>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4606CD"/>
    <w:rsid w:val="000000F3"/>
    <w:rsid w:val="00000813"/>
    <w:rsid w:val="00001F3A"/>
    <w:rsid w:val="00003098"/>
    <w:rsid w:val="00005149"/>
    <w:rsid w:val="00005561"/>
    <w:rsid w:val="00005948"/>
    <w:rsid w:val="000063F9"/>
    <w:rsid w:val="00006F13"/>
    <w:rsid w:val="000074BF"/>
    <w:rsid w:val="0000783C"/>
    <w:rsid w:val="000106E2"/>
    <w:rsid w:val="0001178A"/>
    <w:rsid w:val="00011EB0"/>
    <w:rsid w:val="0001212F"/>
    <w:rsid w:val="000126FE"/>
    <w:rsid w:val="0001316E"/>
    <w:rsid w:val="00013DD8"/>
    <w:rsid w:val="000144C7"/>
    <w:rsid w:val="00014678"/>
    <w:rsid w:val="00014834"/>
    <w:rsid w:val="00014AC6"/>
    <w:rsid w:val="00015DAF"/>
    <w:rsid w:val="00017CC1"/>
    <w:rsid w:val="0002012A"/>
    <w:rsid w:val="00020505"/>
    <w:rsid w:val="00020A94"/>
    <w:rsid w:val="00020FC9"/>
    <w:rsid w:val="000215FE"/>
    <w:rsid w:val="000222A5"/>
    <w:rsid w:val="000222AA"/>
    <w:rsid w:val="0002230B"/>
    <w:rsid w:val="00024723"/>
    <w:rsid w:val="00024D2C"/>
    <w:rsid w:val="00026A5D"/>
    <w:rsid w:val="00027D54"/>
    <w:rsid w:val="00027FBA"/>
    <w:rsid w:val="000317FA"/>
    <w:rsid w:val="000319A2"/>
    <w:rsid w:val="000320E2"/>
    <w:rsid w:val="000328C0"/>
    <w:rsid w:val="0003327B"/>
    <w:rsid w:val="00035C72"/>
    <w:rsid w:val="000363A6"/>
    <w:rsid w:val="0003682C"/>
    <w:rsid w:val="00037829"/>
    <w:rsid w:val="000379A1"/>
    <w:rsid w:val="00037ED9"/>
    <w:rsid w:val="000412B4"/>
    <w:rsid w:val="000423EB"/>
    <w:rsid w:val="00042A07"/>
    <w:rsid w:val="000443D9"/>
    <w:rsid w:val="000443EF"/>
    <w:rsid w:val="00044578"/>
    <w:rsid w:val="0004531E"/>
    <w:rsid w:val="00045719"/>
    <w:rsid w:val="00045807"/>
    <w:rsid w:val="00046882"/>
    <w:rsid w:val="0005013D"/>
    <w:rsid w:val="00051FB0"/>
    <w:rsid w:val="00052135"/>
    <w:rsid w:val="0005233D"/>
    <w:rsid w:val="000527D8"/>
    <w:rsid w:val="00052D49"/>
    <w:rsid w:val="00055B65"/>
    <w:rsid w:val="00056A70"/>
    <w:rsid w:val="0006146D"/>
    <w:rsid w:val="00061A0D"/>
    <w:rsid w:val="00061E3B"/>
    <w:rsid w:val="00062056"/>
    <w:rsid w:val="000627B3"/>
    <w:rsid w:val="00063C6A"/>
    <w:rsid w:val="000652EE"/>
    <w:rsid w:val="00065DAF"/>
    <w:rsid w:val="0006795E"/>
    <w:rsid w:val="00067E3E"/>
    <w:rsid w:val="00070395"/>
    <w:rsid w:val="00070BB5"/>
    <w:rsid w:val="00070DD1"/>
    <w:rsid w:val="000734BB"/>
    <w:rsid w:val="00076747"/>
    <w:rsid w:val="00076B00"/>
    <w:rsid w:val="00077D64"/>
    <w:rsid w:val="00077FA7"/>
    <w:rsid w:val="000800E9"/>
    <w:rsid w:val="000815D8"/>
    <w:rsid w:val="00081AB9"/>
    <w:rsid w:val="00081C1D"/>
    <w:rsid w:val="0008226B"/>
    <w:rsid w:val="00082281"/>
    <w:rsid w:val="00082386"/>
    <w:rsid w:val="000832F5"/>
    <w:rsid w:val="00084C68"/>
    <w:rsid w:val="000852A6"/>
    <w:rsid w:val="00090164"/>
    <w:rsid w:val="00090397"/>
    <w:rsid w:val="000909CB"/>
    <w:rsid w:val="00091EA1"/>
    <w:rsid w:val="000929D4"/>
    <w:rsid w:val="00093181"/>
    <w:rsid w:val="00093D6F"/>
    <w:rsid w:val="000942B1"/>
    <w:rsid w:val="00095A1E"/>
    <w:rsid w:val="00095AEC"/>
    <w:rsid w:val="00095DAA"/>
    <w:rsid w:val="0009638E"/>
    <w:rsid w:val="000964FA"/>
    <w:rsid w:val="000A16F6"/>
    <w:rsid w:val="000A2165"/>
    <w:rsid w:val="000A219C"/>
    <w:rsid w:val="000A228B"/>
    <w:rsid w:val="000A302F"/>
    <w:rsid w:val="000A3B9C"/>
    <w:rsid w:val="000A4A09"/>
    <w:rsid w:val="000A4A84"/>
    <w:rsid w:val="000A4AB2"/>
    <w:rsid w:val="000A507B"/>
    <w:rsid w:val="000A585A"/>
    <w:rsid w:val="000A5A3A"/>
    <w:rsid w:val="000A671C"/>
    <w:rsid w:val="000A7101"/>
    <w:rsid w:val="000B03E3"/>
    <w:rsid w:val="000B1078"/>
    <w:rsid w:val="000B1E23"/>
    <w:rsid w:val="000B20BE"/>
    <w:rsid w:val="000B23A3"/>
    <w:rsid w:val="000B29F0"/>
    <w:rsid w:val="000B499F"/>
    <w:rsid w:val="000B570B"/>
    <w:rsid w:val="000B579E"/>
    <w:rsid w:val="000B5B08"/>
    <w:rsid w:val="000B618B"/>
    <w:rsid w:val="000B6FF0"/>
    <w:rsid w:val="000C21C0"/>
    <w:rsid w:val="000C3926"/>
    <w:rsid w:val="000C3CBE"/>
    <w:rsid w:val="000C3F22"/>
    <w:rsid w:val="000C550D"/>
    <w:rsid w:val="000C7546"/>
    <w:rsid w:val="000C7E53"/>
    <w:rsid w:val="000D0288"/>
    <w:rsid w:val="000D1BC1"/>
    <w:rsid w:val="000D2406"/>
    <w:rsid w:val="000D269F"/>
    <w:rsid w:val="000D37DF"/>
    <w:rsid w:val="000D3B52"/>
    <w:rsid w:val="000D4762"/>
    <w:rsid w:val="000D590A"/>
    <w:rsid w:val="000E0574"/>
    <w:rsid w:val="000E0C55"/>
    <w:rsid w:val="000E123F"/>
    <w:rsid w:val="000E13B1"/>
    <w:rsid w:val="000E241B"/>
    <w:rsid w:val="000E2E36"/>
    <w:rsid w:val="000E4A5D"/>
    <w:rsid w:val="000E4DD0"/>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2C03"/>
    <w:rsid w:val="00103006"/>
    <w:rsid w:val="001031D2"/>
    <w:rsid w:val="00103706"/>
    <w:rsid w:val="00103E28"/>
    <w:rsid w:val="00104752"/>
    <w:rsid w:val="001052D3"/>
    <w:rsid w:val="001057D3"/>
    <w:rsid w:val="00106B14"/>
    <w:rsid w:val="0010753D"/>
    <w:rsid w:val="0011005D"/>
    <w:rsid w:val="00112754"/>
    <w:rsid w:val="00112EF1"/>
    <w:rsid w:val="00113622"/>
    <w:rsid w:val="00114171"/>
    <w:rsid w:val="00114278"/>
    <w:rsid w:val="00116B1D"/>
    <w:rsid w:val="00116BC7"/>
    <w:rsid w:val="00117D3D"/>
    <w:rsid w:val="001208E1"/>
    <w:rsid w:val="00120A80"/>
    <w:rsid w:val="00120D26"/>
    <w:rsid w:val="00121177"/>
    <w:rsid w:val="0012151A"/>
    <w:rsid w:val="00121728"/>
    <w:rsid w:val="00123C26"/>
    <w:rsid w:val="00124247"/>
    <w:rsid w:val="00124CBE"/>
    <w:rsid w:val="00125DBB"/>
    <w:rsid w:val="00127276"/>
    <w:rsid w:val="00127ACA"/>
    <w:rsid w:val="00130478"/>
    <w:rsid w:val="00131BB0"/>
    <w:rsid w:val="0013240A"/>
    <w:rsid w:val="00132D95"/>
    <w:rsid w:val="00132E21"/>
    <w:rsid w:val="00134706"/>
    <w:rsid w:val="00135881"/>
    <w:rsid w:val="0013698D"/>
    <w:rsid w:val="00136BC5"/>
    <w:rsid w:val="00136FC4"/>
    <w:rsid w:val="001375CF"/>
    <w:rsid w:val="00137984"/>
    <w:rsid w:val="00137A4A"/>
    <w:rsid w:val="0014068F"/>
    <w:rsid w:val="00140C59"/>
    <w:rsid w:val="00141D95"/>
    <w:rsid w:val="00142E84"/>
    <w:rsid w:val="00143C28"/>
    <w:rsid w:val="001453FE"/>
    <w:rsid w:val="001454CB"/>
    <w:rsid w:val="00145941"/>
    <w:rsid w:val="00147B29"/>
    <w:rsid w:val="00150776"/>
    <w:rsid w:val="001509BF"/>
    <w:rsid w:val="001511B8"/>
    <w:rsid w:val="001519FC"/>
    <w:rsid w:val="0015330A"/>
    <w:rsid w:val="00155FFA"/>
    <w:rsid w:val="001561A1"/>
    <w:rsid w:val="001567FB"/>
    <w:rsid w:val="0015702B"/>
    <w:rsid w:val="001573B7"/>
    <w:rsid w:val="00162523"/>
    <w:rsid w:val="00164462"/>
    <w:rsid w:val="00164CD8"/>
    <w:rsid w:val="0016507F"/>
    <w:rsid w:val="001652FF"/>
    <w:rsid w:val="00165A4B"/>
    <w:rsid w:val="0017119E"/>
    <w:rsid w:val="00172108"/>
    <w:rsid w:val="001725F6"/>
    <w:rsid w:val="00172DE8"/>
    <w:rsid w:val="00176926"/>
    <w:rsid w:val="00176EE6"/>
    <w:rsid w:val="00177077"/>
    <w:rsid w:val="00177264"/>
    <w:rsid w:val="00177FD5"/>
    <w:rsid w:val="0018142F"/>
    <w:rsid w:val="00182BBC"/>
    <w:rsid w:val="00182BD6"/>
    <w:rsid w:val="00183F5B"/>
    <w:rsid w:val="001853AA"/>
    <w:rsid w:val="001854B6"/>
    <w:rsid w:val="00187C4C"/>
    <w:rsid w:val="00190B2F"/>
    <w:rsid w:val="001917B0"/>
    <w:rsid w:val="0019255E"/>
    <w:rsid w:val="0019257B"/>
    <w:rsid w:val="0019283D"/>
    <w:rsid w:val="001934C2"/>
    <w:rsid w:val="00193CEC"/>
    <w:rsid w:val="00194D01"/>
    <w:rsid w:val="001957F4"/>
    <w:rsid w:val="00195F27"/>
    <w:rsid w:val="00196F06"/>
    <w:rsid w:val="001A0926"/>
    <w:rsid w:val="001A0BAC"/>
    <w:rsid w:val="001A1ABA"/>
    <w:rsid w:val="001A1D62"/>
    <w:rsid w:val="001A1E4C"/>
    <w:rsid w:val="001A2697"/>
    <w:rsid w:val="001A2BF2"/>
    <w:rsid w:val="001A2C8A"/>
    <w:rsid w:val="001A4AE5"/>
    <w:rsid w:val="001A4BF4"/>
    <w:rsid w:val="001A64AB"/>
    <w:rsid w:val="001A6FEF"/>
    <w:rsid w:val="001A7123"/>
    <w:rsid w:val="001A777E"/>
    <w:rsid w:val="001A7F2B"/>
    <w:rsid w:val="001B00F5"/>
    <w:rsid w:val="001B0D09"/>
    <w:rsid w:val="001B34D5"/>
    <w:rsid w:val="001B3837"/>
    <w:rsid w:val="001B4C0E"/>
    <w:rsid w:val="001B57BA"/>
    <w:rsid w:val="001B7D1C"/>
    <w:rsid w:val="001C012B"/>
    <w:rsid w:val="001C097A"/>
    <w:rsid w:val="001C11BE"/>
    <w:rsid w:val="001C18AB"/>
    <w:rsid w:val="001C2C33"/>
    <w:rsid w:val="001C3A10"/>
    <w:rsid w:val="001C44F8"/>
    <w:rsid w:val="001C4AAF"/>
    <w:rsid w:val="001C58D8"/>
    <w:rsid w:val="001C620D"/>
    <w:rsid w:val="001D1793"/>
    <w:rsid w:val="001D1BF9"/>
    <w:rsid w:val="001D1E1F"/>
    <w:rsid w:val="001D200C"/>
    <w:rsid w:val="001D2C6F"/>
    <w:rsid w:val="001D2CE4"/>
    <w:rsid w:val="001D4201"/>
    <w:rsid w:val="001D475F"/>
    <w:rsid w:val="001D48D1"/>
    <w:rsid w:val="001D644E"/>
    <w:rsid w:val="001D6934"/>
    <w:rsid w:val="001D696E"/>
    <w:rsid w:val="001E010B"/>
    <w:rsid w:val="001E0E72"/>
    <w:rsid w:val="001E14C0"/>
    <w:rsid w:val="001E1D80"/>
    <w:rsid w:val="001E21D8"/>
    <w:rsid w:val="001E28A2"/>
    <w:rsid w:val="001E32C1"/>
    <w:rsid w:val="001E458B"/>
    <w:rsid w:val="001E5932"/>
    <w:rsid w:val="001E5C0F"/>
    <w:rsid w:val="001E6150"/>
    <w:rsid w:val="001E64A0"/>
    <w:rsid w:val="001E6545"/>
    <w:rsid w:val="001E6C06"/>
    <w:rsid w:val="001E7342"/>
    <w:rsid w:val="001E7659"/>
    <w:rsid w:val="001F2103"/>
    <w:rsid w:val="001F332D"/>
    <w:rsid w:val="001F426C"/>
    <w:rsid w:val="001F443D"/>
    <w:rsid w:val="001F5A9F"/>
    <w:rsid w:val="001F5C2C"/>
    <w:rsid w:val="0020060E"/>
    <w:rsid w:val="00200FC0"/>
    <w:rsid w:val="0020263E"/>
    <w:rsid w:val="00204E44"/>
    <w:rsid w:val="00206445"/>
    <w:rsid w:val="00206649"/>
    <w:rsid w:val="00207F4B"/>
    <w:rsid w:val="002110CB"/>
    <w:rsid w:val="00212287"/>
    <w:rsid w:val="002124A7"/>
    <w:rsid w:val="00214980"/>
    <w:rsid w:val="00214B17"/>
    <w:rsid w:val="00215E69"/>
    <w:rsid w:val="00215EDD"/>
    <w:rsid w:val="0021625B"/>
    <w:rsid w:val="002169A6"/>
    <w:rsid w:val="00217309"/>
    <w:rsid w:val="002206FF"/>
    <w:rsid w:val="00222205"/>
    <w:rsid w:val="00222F93"/>
    <w:rsid w:val="00224E5C"/>
    <w:rsid w:val="0022579C"/>
    <w:rsid w:val="00230772"/>
    <w:rsid w:val="00230D82"/>
    <w:rsid w:val="00232370"/>
    <w:rsid w:val="00232F1F"/>
    <w:rsid w:val="00233391"/>
    <w:rsid w:val="00234017"/>
    <w:rsid w:val="0023406E"/>
    <w:rsid w:val="00235429"/>
    <w:rsid w:val="00235529"/>
    <w:rsid w:val="00236F10"/>
    <w:rsid w:val="00237034"/>
    <w:rsid w:val="00237E80"/>
    <w:rsid w:val="00240979"/>
    <w:rsid w:val="002414B7"/>
    <w:rsid w:val="00241B9E"/>
    <w:rsid w:val="00241EE0"/>
    <w:rsid w:val="00242D25"/>
    <w:rsid w:val="00243B4E"/>
    <w:rsid w:val="00243F1A"/>
    <w:rsid w:val="00244E47"/>
    <w:rsid w:val="0024585F"/>
    <w:rsid w:val="002459C6"/>
    <w:rsid w:val="00245C2F"/>
    <w:rsid w:val="0024708C"/>
    <w:rsid w:val="00251F57"/>
    <w:rsid w:val="0025230C"/>
    <w:rsid w:val="00252FDD"/>
    <w:rsid w:val="002539D6"/>
    <w:rsid w:val="00253F2B"/>
    <w:rsid w:val="002544C6"/>
    <w:rsid w:val="00256981"/>
    <w:rsid w:val="00256E80"/>
    <w:rsid w:val="002571F1"/>
    <w:rsid w:val="00260061"/>
    <w:rsid w:val="002615F3"/>
    <w:rsid w:val="00263C0A"/>
    <w:rsid w:val="00264085"/>
    <w:rsid w:val="002646AF"/>
    <w:rsid w:val="00264F20"/>
    <w:rsid w:val="0026527C"/>
    <w:rsid w:val="002655FA"/>
    <w:rsid w:val="00266012"/>
    <w:rsid w:val="00266EB3"/>
    <w:rsid w:val="00271D06"/>
    <w:rsid w:val="00272CE1"/>
    <w:rsid w:val="00273F73"/>
    <w:rsid w:val="00274D5E"/>
    <w:rsid w:val="00274D9F"/>
    <w:rsid w:val="002752E0"/>
    <w:rsid w:val="0027681E"/>
    <w:rsid w:val="00280411"/>
    <w:rsid w:val="0028153A"/>
    <w:rsid w:val="0028159F"/>
    <w:rsid w:val="0028177D"/>
    <w:rsid w:val="0028212E"/>
    <w:rsid w:val="00282486"/>
    <w:rsid w:val="0028461E"/>
    <w:rsid w:val="00285730"/>
    <w:rsid w:val="002858D0"/>
    <w:rsid w:val="00287731"/>
    <w:rsid w:val="00290883"/>
    <w:rsid w:val="00290CEE"/>
    <w:rsid w:val="00291EF7"/>
    <w:rsid w:val="00292093"/>
    <w:rsid w:val="00292622"/>
    <w:rsid w:val="00292CEB"/>
    <w:rsid w:val="00293AB4"/>
    <w:rsid w:val="00293B5C"/>
    <w:rsid w:val="0029485E"/>
    <w:rsid w:val="00295FA1"/>
    <w:rsid w:val="002979EB"/>
    <w:rsid w:val="002A21E7"/>
    <w:rsid w:val="002A3028"/>
    <w:rsid w:val="002A384B"/>
    <w:rsid w:val="002A45B8"/>
    <w:rsid w:val="002A4AE3"/>
    <w:rsid w:val="002A4C89"/>
    <w:rsid w:val="002A6727"/>
    <w:rsid w:val="002A6921"/>
    <w:rsid w:val="002A69B3"/>
    <w:rsid w:val="002A7121"/>
    <w:rsid w:val="002A713D"/>
    <w:rsid w:val="002B06F3"/>
    <w:rsid w:val="002B0CCA"/>
    <w:rsid w:val="002B2698"/>
    <w:rsid w:val="002B38DE"/>
    <w:rsid w:val="002B3B27"/>
    <w:rsid w:val="002B5CAD"/>
    <w:rsid w:val="002B6B8C"/>
    <w:rsid w:val="002B738E"/>
    <w:rsid w:val="002C04A5"/>
    <w:rsid w:val="002C1393"/>
    <w:rsid w:val="002C21C0"/>
    <w:rsid w:val="002C224F"/>
    <w:rsid w:val="002C2E35"/>
    <w:rsid w:val="002C3AC3"/>
    <w:rsid w:val="002C3C9B"/>
    <w:rsid w:val="002C3D8B"/>
    <w:rsid w:val="002C4797"/>
    <w:rsid w:val="002C566E"/>
    <w:rsid w:val="002C5C46"/>
    <w:rsid w:val="002C637D"/>
    <w:rsid w:val="002C6C9D"/>
    <w:rsid w:val="002D148F"/>
    <w:rsid w:val="002D20A1"/>
    <w:rsid w:val="002D2D98"/>
    <w:rsid w:val="002D35FA"/>
    <w:rsid w:val="002D3AB0"/>
    <w:rsid w:val="002D3AFB"/>
    <w:rsid w:val="002D44BC"/>
    <w:rsid w:val="002D52DE"/>
    <w:rsid w:val="002D7226"/>
    <w:rsid w:val="002D778C"/>
    <w:rsid w:val="002E0612"/>
    <w:rsid w:val="002E06A2"/>
    <w:rsid w:val="002E1C76"/>
    <w:rsid w:val="002E2A8C"/>
    <w:rsid w:val="002E2C72"/>
    <w:rsid w:val="002E33FF"/>
    <w:rsid w:val="002E36AB"/>
    <w:rsid w:val="002E3BB5"/>
    <w:rsid w:val="002E3C69"/>
    <w:rsid w:val="002E3CDF"/>
    <w:rsid w:val="002E3F1A"/>
    <w:rsid w:val="002E4565"/>
    <w:rsid w:val="002E5017"/>
    <w:rsid w:val="002E61F6"/>
    <w:rsid w:val="002E6694"/>
    <w:rsid w:val="002E7A3D"/>
    <w:rsid w:val="002E7ADE"/>
    <w:rsid w:val="002E7C4F"/>
    <w:rsid w:val="002F1155"/>
    <w:rsid w:val="002F335D"/>
    <w:rsid w:val="002F5070"/>
    <w:rsid w:val="002F578F"/>
    <w:rsid w:val="002F7197"/>
    <w:rsid w:val="002F7804"/>
    <w:rsid w:val="00300286"/>
    <w:rsid w:val="003003BB"/>
    <w:rsid w:val="00300AF9"/>
    <w:rsid w:val="00300B44"/>
    <w:rsid w:val="003018CD"/>
    <w:rsid w:val="003025FE"/>
    <w:rsid w:val="0030389F"/>
    <w:rsid w:val="00303E9D"/>
    <w:rsid w:val="00304918"/>
    <w:rsid w:val="00304BB6"/>
    <w:rsid w:val="003050E7"/>
    <w:rsid w:val="00305853"/>
    <w:rsid w:val="0031110D"/>
    <w:rsid w:val="0031292B"/>
    <w:rsid w:val="00312A49"/>
    <w:rsid w:val="00312D17"/>
    <w:rsid w:val="00312E78"/>
    <w:rsid w:val="00313980"/>
    <w:rsid w:val="00313C7B"/>
    <w:rsid w:val="00315D8D"/>
    <w:rsid w:val="00315E56"/>
    <w:rsid w:val="00315FCA"/>
    <w:rsid w:val="00316561"/>
    <w:rsid w:val="0031671D"/>
    <w:rsid w:val="0031745A"/>
    <w:rsid w:val="003207B4"/>
    <w:rsid w:val="00320F0C"/>
    <w:rsid w:val="003238D9"/>
    <w:rsid w:val="00324AB5"/>
    <w:rsid w:val="0032514D"/>
    <w:rsid w:val="00325191"/>
    <w:rsid w:val="0032574A"/>
    <w:rsid w:val="00325CFB"/>
    <w:rsid w:val="00325D72"/>
    <w:rsid w:val="00326852"/>
    <w:rsid w:val="00326D9D"/>
    <w:rsid w:val="00326E08"/>
    <w:rsid w:val="00326EA6"/>
    <w:rsid w:val="00326F32"/>
    <w:rsid w:val="003274E9"/>
    <w:rsid w:val="003303BE"/>
    <w:rsid w:val="00330D74"/>
    <w:rsid w:val="0033195D"/>
    <w:rsid w:val="00331A26"/>
    <w:rsid w:val="0033230C"/>
    <w:rsid w:val="003326E2"/>
    <w:rsid w:val="003369AA"/>
    <w:rsid w:val="00336E78"/>
    <w:rsid w:val="00337868"/>
    <w:rsid w:val="00337C4C"/>
    <w:rsid w:val="00337EC6"/>
    <w:rsid w:val="00340A74"/>
    <w:rsid w:val="00340C5B"/>
    <w:rsid w:val="00340E37"/>
    <w:rsid w:val="003418A6"/>
    <w:rsid w:val="0034206A"/>
    <w:rsid w:val="0034213E"/>
    <w:rsid w:val="00342A17"/>
    <w:rsid w:val="00343349"/>
    <w:rsid w:val="00343E9B"/>
    <w:rsid w:val="0034577F"/>
    <w:rsid w:val="00346949"/>
    <w:rsid w:val="00346F39"/>
    <w:rsid w:val="00347426"/>
    <w:rsid w:val="00351263"/>
    <w:rsid w:val="00351494"/>
    <w:rsid w:val="003514B9"/>
    <w:rsid w:val="0035166C"/>
    <w:rsid w:val="00351812"/>
    <w:rsid w:val="00353ABC"/>
    <w:rsid w:val="00355630"/>
    <w:rsid w:val="0035617A"/>
    <w:rsid w:val="0035625B"/>
    <w:rsid w:val="00356A93"/>
    <w:rsid w:val="00356BC5"/>
    <w:rsid w:val="00357FC4"/>
    <w:rsid w:val="0036057C"/>
    <w:rsid w:val="003626C2"/>
    <w:rsid w:val="003631C2"/>
    <w:rsid w:val="0036323D"/>
    <w:rsid w:val="00363387"/>
    <w:rsid w:val="003633D3"/>
    <w:rsid w:val="00363735"/>
    <w:rsid w:val="00363F67"/>
    <w:rsid w:val="00364089"/>
    <w:rsid w:val="003703A0"/>
    <w:rsid w:val="00371006"/>
    <w:rsid w:val="003712DD"/>
    <w:rsid w:val="00372EF6"/>
    <w:rsid w:val="00373ADD"/>
    <w:rsid w:val="00374559"/>
    <w:rsid w:val="003767C4"/>
    <w:rsid w:val="00376A5A"/>
    <w:rsid w:val="00376E53"/>
    <w:rsid w:val="00377948"/>
    <w:rsid w:val="00380855"/>
    <w:rsid w:val="00380917"/>
    <w:rsid w:val="00381418"/>
    <w:rsid w:val="00381F4D"/>
    <w:rsid w:val="003826B8"/>
    <w:rsid w:val="00382D21"/>
    <w:rsid w:val="00383001"/>
    <w:rsid w:val="00385FE8"/>
    <w:rsid w:val="003864EF"/>
    <w:rsid w:val="00386AD8"/>
    <w:rsid w:val="003873E9"/>
    <w:rsid w:val="003875FC"/>
    <w:rsid w:val="003900D9"/>
    <w:rsid w:val="00390434"/>
    <w:rsid w:val="00390E90"/>
    <w:rsid w:val="003916BE"/>
    <w:rsid w:val="00391A4F"/>
    <w:rsid w:val="00392AAF"/>
    <w:rsid w:val="00394182"/>
    <w:rsid w:val="00395355"/>
    <w:rsid w:val="00395ECA"/>
    <w:rsid w:val="00397485"/>
    <w:rsid w:val="00397A9C"/>
    <w:rsid w:val="003A121A"/>
    <w:rsid w:val="003A15A1"/>
    <w:rsid w:val="003A3303"/>
    <w:rsid w:val="003A3739"/>
    <w:rsid w:val="003A4EBF"/>
    <w:rsid w:val="003A5A30"/>
    <w:rsid w:val="003A603F"/>
    <w:rsid w:val="003A71E2"/>
    <w:rsid w:val="003A75E1"/>
    <w:rsid w:val="003A76F7"/>
    <w:rsid w:val="003A7CAB"/>
    <w:rsid w:val="003B08E6"/>
    <w:rsid w:val="003B0BF8"/>
    <w:rsid w:val="003B1E6A"/>
    <w:rsid w:val="003B2384"/>
    <w:rsid w:val="003B319A"/>
    <w:rsid w:val="003B5AE7"/>
    <w:rsid w:val="003B667E"/>
    <w:rsid w:val="003C0A33"/>
    <w:rsid w:val="003C1561"/>
    <w:rsid w:val="003C2126"/>
    <w:rsid w:val="003C35D7"/>
    <w:rsid w:val="003C365B"/>
    <w:rsid w:val="003C5762"/>
    <w:rsid w:val="003C60E6"/>
    <w:rsid w:val="003C7441"/>
    <w:rsid w:val="003D0104"/>
    <w:rsid w:val="003D16C0"/>
    <w:rsid w:val="003D16D3"/>
    <w:rsid w:val="003D27A1"/>
    <w:rsid w:val="003D3FC3"/>
    <w:rsid w:val="003D51EB"/>
    <w:rsid w:val="003D56C1"/>
    <w:rsid w:val="003D5F88"/>
    <w:rsid w:val="003D6252"/>
    <w:rsid w:val="003D6583"/>
    <w:rsid w:val="003D746D"/>
    <w:rsid w:val="003E1DAA"/>
    <w:rsid w:val="003E1E1E"/>
    <w:rsid w:val="003E3580"/>
    <w:rsid w:val="003E3A89"/>
    <w:rsid w:val="003E41CE"/>
    <w:rsid w:val="003E41F4"/>
    <w:rsid w:val="003E649D"/>
    <w:rsid w:val="003E6624"/>
    <w:rsid w:val="003E66C9"/>
    <w:rsid w:val="003E6F69"/>
    <w:rsid w:val="003F0233"/>
    <w:rsid w:val="003F0A27"/>
    <w:rsid w:val="003F1E0F"/>
    <w:rsid w:val="003F1F74"/>
    <w:rsid w:val="003F362E"/>
    <w:rsid w:val="003F3EF9"/>
    <w:rsid w:val="003F44BB"/>
    <w:rsid w:val="003F55D9"/>
    <w:rsid w:val="003F5D29"/>
    <w:rsid w:val="003F6224"/>
    <w:rsid w:val="003F6424"/>
    <w:rsid w:val="003F65E9"/>
    <w:rsid w:val="003F7BF6"/>
    <w:rsid w:val="00400358"/>
    <w:rsid w:val="00400D81"/>
    <w:rsid w:val="00401FAC"/>
    <w:rsid w:val="004027AF"/>
    <w:rsid w:val="00402D92"/>
    <w:rsid w:val="004031FE"/>
    <w:rsid w:val="0040335F"/>
    <w:rsid w:val="00404499"/>
    <w:rsid w:val="004046A0"/>
    <w:rsid w:val="00404884"/>
    <w:rsid w:val="00404C72"/>
    <w:rsid w:val="0040655A"/>
    <w:rsid w:val="004068A9"/>
    <w:rsid w:val="00407329"/>
    <w:rsid w:val="00407888"/>
    <w:rsid w:val="00411196"/>
    <w:rsid w:val="00411A04"/>
    <w:rsid w:val="004139D0"/>
    <w:rsid w:val="00413A7B"/>
    <w:rsid w:val="00413C9B"/>
    <w:rsid w:val="00413DA9"/>
    <w:rsid w:val="0041497B"/>
    <w:rsid w:val="00415A54"/>
    <w:rsid w:val="00417203"/>
    <w:rsid w:val="00420B00"/>
    <w:rsid w:val="004213CE"/>
    <w:rsid w:val="004216F5"/>
    <w:rsid w:val="00422120"/>
    <w:rsid w:val="004221C1"/>
    <w:rsid w:val="0042244D"/>
    <w:rsid w:val="004228B1"/>
    <w:rsid w:val="00422928"/>
    <w:rsid w:val="0042434E"/>
    <w:rsid w:val="004245A0"/>
    <w:rsid w:val="00425F0B"/>
    <w:rsid w:val="00426F66"/>
    <w:rsid w:val="00427470"/>
    <w:rsid w:val="00427958"/>
    <w:rsid w:val="00427CCB"/>
    <w:rsid w:val="00430BEE"/>
    <w:rsid w:val="004316CE"/>
    <w:rsid w:val="00431F05"/>
    <w:rsid w:val="00432159"/>
    <w:rsid w:val="004328A5"/>
    <w:rsid w:val="004331D1"/>
    <w:rsid w:val="00433B4D"/>
    <w:rsid w:val="00434978"/>
    <w:rsid w:val="00435570"/>
    <w:rsid w:val="004357D5"/>
    <w:rsid w:val="004421E6"/>
    <w:rsid w:val="00442915"/>
    <w:rsid w:val="004434E7"/>
    <w:rsid w:val="004455EF"/>
    <w:rsid w:val="00445F7E"/>
    <w:rsid w:val="00450B16"/>
    <w:rsid w:val="004514AD"/>
    <w:rsid w:val="004527E1"/>
    <w:rsid w:val="00452C91"/>
    <w:rsid w:val="00453506"/>
    <w:rsid w:val="0045444B"/>
    <w:rsid w:val="0045691D"/>
    <w:rsid w:val="00457720"/>
    <w:rsid w:val="00457E01"/>
    <w:rsid w:val="004606CD"/>
    <w:rsid w:val="00460B94"/>
    <w:rsid w:val="0046438E"/>
    <w:rsid w:val="0046492B"/>
    <w:rsid w:val="004652A2"/>
    <w:rsid w:val="004656BA"/>
    <w:rsid w:val="00465D5A"/>
    <w:rsid w:val="00466294"/>
    <w:rsid w:val="004662FD"/>
    <w:rsid w:val="00466BBD"/>
    <w:rsid w:val="00466DD0"/>
    <w:rsid w:val="00470E30"/>
    <w:rsid w:val="0047134E"/>
    <w:rsid w:val="004720E3"/>
    <w:rsid w:val="00472F7A"/>
    <w:rsid w:val="00475508"/>
    <w:rsid w:val="00476720"/>
    <w:rsid w:val="0047677F"/>
    <w:rsid w:val="00477A57"/>
    <w:rsid w:val="00477C3A"/>
    <w:rsid w:val="00480F67"/>
    <w:rsid w:val="00480FE9"/>
    <w:rsid w:val="00482EDF"/>
    <w:rsid w:val="00483071"/>
    <w:rsid w:val="00483515"/>
    <w:rsid w:val="0048411C"/>
    <w:rsid w:val="0048412E"/>
    <w:rsid w:val="004860C9"/>
    <w:rsid w:val="004872E3"/>
    <w:rsid w:val="00487EC0"/>
    <w:rsid w:val="00487EE3"/>
    <w:rsid w:val="004905C4"/>
    <w:rsid w:val="004905EE"/>
    <w:rsid w:val="00490D39"/>
    <w:rsid w:val="004926BC"/>
    <w:rsid w:val="004934DF"/>
    <w:rsid w:val="00493D55"/>
    <w:rsid w:val="00495473"/>
    <w:rsid w:val="004958CA"/>
    <w:rsid w:val="00495D06"/>
    <w:rsid w:val="00495ED8"/>
    <w:rsid w:val="004971DD"/>
    <w:rsid w:val="004A03B6"/>
    <w:rsid w:val="004A172E"/>
    <w:rsid w:val="004A1CE0"/>
    <w:rsid w:val="004A225D"/>
    <w:rsid w:val="004A2ECE"/>
    <w:rsid w:val="004A3EBF"/>
    <w:rsid w:val="004A471B"/>
    <w:rsid w:val="004A628C"/>
    <w:rsid w:val="004B0590"/>
    <w:rsid w:val="004B37F5"/>
    <w:rsid w:val="004B4512"/>
    <w:rsid w:val="004B6401"/>
    <w:rsid w:val="004B6BF9"/>
    <w:rsid w:val="004B7680"/>
    <w:rsid w:val="004B7F09"/>
    <w:rsid w:val="004C073C"/>
    <w:rsid w:val="004C0FEB"/>
    <w:rsid w:val="004C1560"/>
    <w:rsid w:val="004C1BB5"/>
    <w:rsid w:val="004C2363"/>
    <w:rsid w:val="004C4627"/>
    <w:rsid w:val="004C4A23"/>
    <w:rsid w:val="004C52F3"/>
    <w:rsid w:val="004C59CC"/>
    <w:rsid w:val="004C5EC1"/>
    <w:rsid w:val="004C7576"/>
    <w:rsid w:val="004C770E"/>
    <w:rsid w:val="004D0682"/>
    <w:rsid w:val="004D1187"/>
    <w:rsid w:val="004D13BC"/>
    <w:rsid w:val="004D143F"/>
    <w:rsid w:val="004D1539"/>
    <w:rsid w:val="004D3FE6"/>
    <w:rsid w:val="004D5D8A"/>
    <w:rsid w:val="004D65A9"/>
    <w:rsid w:val="004D6708"/>
    <w:rsid w:val="004D76F0"/>
    <w:rsid w:val="004D7CDC"/>
    <w:rsid w:val="004E04C2"/>
    <w:rsid w:val="004E0A68"/>
    <w:rsid w:val="004E0AFC"/>
    <w:rsid w:val="004E27D6"/>
    <w:rsid w:val="004E286E"/>
    <w:rsid w:val="004E2E07"/>
    <w:rsid w:val="004E49A9"/>
    <w:rsid w:val="004E586A"/>
    <w:rsid w:val="004E63B4"/>
    <w:rsid w:val="004E66D3"/>
    <w:rsid w:val="004E706E"/>
    <w:rsid w:val="004F257D"/>
    <w:rsid w:val="004F33AB"/>
    <w:rsid w:val="004F5138"/>
    <w:rsid w:val="004F53BD"/>
    <w:rsid w:val="004F54FF"/>
    <w:rsid w:val="004F5F50"/>
    <w:rsid w:val="004F6501"/>
    <w:rsid w:val="004F786E"/>
    <w:rsid w:val="004F7883"/>
    <w:rsid w:val="004F7D00"/>
    <w:rsid w:val="00501683"/>
    <w:rsid w:val="005028E6"/>
    <w:rsid w:val="005037A9"/>
    <w:rsid w:val="0050532C"/>
    <w:rsid w:val="00505AB5"/>
    <w:rsid w:val="00505CDB"/>
    <w:rsid w:val="005061DC"/>
    <w:rsid w:val="00506C42"/>
    <w:rsid w:val="0051000C"/>
    <w:rsid w:val="00510505"/>
    <w:rsid w:val="005112E1"/>
    <w:rsid w:val="00511A3B"/>
    <w:rsid w:val="00511DEF"/>
    <w:rsid w:val="00513845"/>
    <w:rsid w:val="00513862"/>
    <w:rsid w:val="00513E8D"/>
    <w:rsid w:val="005142DB"/>
    <w:rsid w:val="00514F65"/>
    <w:rsid w:val="00515254"/>
    <w:rsid w:val="00516E94"/>
    <w:rsid w:val="00517204"/>
    <w:rsid w:val="0052097D"/>
    <w:rsid w:val="005221E4"/>
    <w:rsid w:val="00522FF2"/>
    <w:rsid w:val="0052364E"/>
    <w:rsid w:val="0052397A"/>
    <w:rsid w:val="00524EFE"/>
    <w:rsid w:val="0052689E"/>
    <w:rsid w:val="00526F86"/>
    <w:rsid w:val="0053044D"/>
    <w:rsid w:val="005318C1"/>
    <w:rsid w:val="005320A6"/>
    <w:rsid w:val="00532A5F"/>
    <w:rsid w:val="005341E6"/>
    <w:rsid w:val="00535018"/>
    <w:rsid w:val="00535C81"/>
    <w:rsid w:val="00536171"/>
    <w:rsid w:val="00536566"/>
    <w:rsid w:val="00536AD9"/>
    <w:rsid w:val="005402E7"/>
    <w:rsid w:val="00540AA6"/>
    <w:rsid w:val="00541F09"/>
    <w:rsid w:val="00542B4C"/>
    <w:rsid w:val="00544D15"/>
    <w:rsid w:val="00544E84"/>
    <w:rsid w:val="0054752C"/>
    <w:rsid w:val="0055128D"/>
    <w:rsid w:val="00552106"/>
    <w:rsid w:val="00552EFE"/>
    <w:rsid w:val="00552F6D"/>
    <w:rsid w:val="00553DA3"/>
    <w:rsid w:val="005545F5"/>
    <w:rsid w:val="0055529F"/>
    <w:rsid w:val="005558E0"/>
    <w:rsid w:val="00555CF7"/>
    <w:rsid w:val="00556046"/>
    <w:rsid w:val="005564B6"/>
    <w:rsid w:val="005568BD"/>
    <w:rsid w:val="00556B6D"/>
    <w:rsid w:val="00556EA9"/>
    <w:rsid w:val="005572AB"/>
    <w:rsid w:val="00557413"/>
    <w:rsid w:val="005603FC"/>
    <w:rsid w:val="00560719"/>
    <w:rsid w:val="00560834"/>
    <w:rsid w:val="00562716"/>
    <w:rsid w:val="005628FC"/>
    <w:rsid w:val="00562F3C"/>
    <w:rsid w:val="0056349A"/>
    <w:rsid w:val="00564F19"/>
    <w:rsid w:val="005712B0"/>
    <w:rsid w:val="00572F95"/>
    <w:rsid w:val="0057724F"/>
    <w:rsid w:val="00577428"/>
    <w:rsid w:val="0057746E"/>
    <w:rsid w:val="00577CBE"/>
    <w:rsid w:val="005818AC"/>
    <w:rsid w:val="00581988"/>
    <w:rsid w:val="0058221A"/>
    <w:rsid w:val="00583EC5"/>
    <w:rsid w:val="0058419E"/>
    <w:rsid w:val="00584BAE"/>
    <w:rsid w:val="00584C43"/>
    <w:rsid w:val="00585075"/>
    <w:rsid w:val="0058700C"/>
    <w:rsid w:val="00587A41"/>
    <w:rsid w:val="00587D1B"/>
    <w:rsid w:val="00587D8A"/>
    <w:rsid w:val="00587EDF"/>
    <w:rsid w:val="005903FD"/>
    <w:rsid w:val="00590DC5"/>
    <w:rsid w:val="00590F94"/>
    <w:rsid w:val="005915EC"/>
    <w:rsid w:val="0059182F"/>
    <w:rsid w:val="00592090"/>
    <w:rsid w:val="00592B80"/>
    <w:rsid w:val="00592B89"/>
    <w:rsid w:val="005933D7"/>
    <w:rsid w:val="00593A92"/>
    <w:rsid w:val="0059439C"/>
    <w:rsid w:val="00594B77"/>
    <w:rsid w:val="00594CCB"/>
    <w:rsid w:val="00595144"/>
    <w:rsid w:val="00595E94"/>
    <w:rsid w:val="005961FB"/>
    <w:rsid w:val="0059639A"/>
    <w:rsid w:val="00596491"/>
    <w:rsid w:val="005A340D"/>
    <w:rsid w:val="005A3C6B"/>
    <w:rsid w:val="005A4594"/>
    <w:rsid w:val="005A4D6D"/>
    <w:rsid w:val="005A6C06"/>
    <w:rsid w:val="005A7F22"/>
    <w:rsid w:val="005B058A"/>
    <w:rsid w:val="005B1C3B"/>
    <w:rsid w:val="005B216A"/>
    <w:rsid w:val="005B47EE"/>
    <w:rsid w:val="005B4F8F"/>
    <w:rsid w:val="005B629D"/>
    <w:rsid w:val="005C00DA"/>
    <w:rsid w:val="005C0377"/>
    <w:rsid w:val="005C0830"/>
    <w:rsid w:val="005C0A63"/>
    <w:rsid w:val="005C0FF9"/>
    <w:rsid w:val="005C4352"/>
    <w:rsid w:val="005C58CA"/>
    <w:rsid w:val="005C5AE7"/>
    <w:rsid w:val="005D0C3E"/>
    <w:rsid w:val="005D1517"/>
    <w:rsid w:val="005D1644"/>
    <w:rsid w:val="005D190C"/>
    <w:rsid w:val="005D2344"/>
    <w:rsid w:val="005D34AC"/>
    <w:rsid w:val="005D37CE"/>
    <w:rsid w:val="005D42ED"/>
    <w:rsid w:val="005D46F0"/>
    <w:rsid w:val="005D4D9E"/>
    <w:rsid w:val="005D5039"/>
    <w:rsid w:val="005D5408"/>
    <w:rsid w:val="005D549D"/>
    <w:rsid w:val="005D59FB"/>
    <w:rsid w:val="005D6097"/>
    <w:rsid w:val="005D61FE"/>
    <w:rsid w:val="005D67BC"/>
    <w:rsid w:val="005D76B7"/>
    <w:rsid w:val="005E0DAC"/>
    <w:rsid w:val="005E0F19"/>
    <w:rsid w:val="005E1968"/>
    <w:rsid w:val="005E2A99"/>
    <w:rsid w:val="005E3219"/>
    <w:rsid w:val="005E3A75"/>
    <w:rsid w:val="005E3B85"/>
    <w:rsid w:val="005E48CF"/>
    <w:rsid w:val="005E6A1F"/>
    <w:rsid w:val="005E6AC3"/>
    <w:rsid w:val="005F0662"/>
    <w:rsid w:val="005F18E6"/>
    <w:rsid w:val="005F2430"/>
    <w:rsid w:val="005F36E3"/>
    <w:rsid w:val="005F5B41"/>
    <w:rsid w:val="005F5B43"/>
    <w:rsid w:val="005F619D"/>
    <w:rsid w:val="005F6723"/>
    <w:rsid w:val="005F6E6C"/>
    <w:rsid w:val="00600381"/>
    <w:rsid w:val="00600B06"/>
    <w:rsid w:val="006011B2"/>
    <w:rsid w:val="006014E4"/>
    <w:rsid w:val="006018C6"/>
    <w:rsid w:val="00602F33"/>
    <w:rsid w:val="00604793"/>
    <w:rsid w:val="00604CD8"/>
    <w:rsid w:val="006063FF"/>
    <w:rsid w:val="006078C2"/>
    <w:rsid w:val="00611A7E"/>
    <w:rsid w:val="00611D8A"/>
    <w:rsid w:val="006123FD"/>
    <w:rsid w:val="006124EC"/>
    <w:rsid w:val="00615410"/>
    <w:rsid w:val="0061605A"/>
    <w:rsid w:val="00616A54"/>
    <w:rsid w:val="00617D8F"/>
    <w:rsid w:val="00617DBB"/>
    <w:rsid w:val="0062042D"/>
    <w:rsid w:val="00621176"/>
    <w:rsid w:val="00621ED9"/>
    <w:rsid w:val="006231D7"/>
    <w:rsid w:val="006233C2"/>
    <w:rsid w:val="00623970"/>
    <w:rsid w:val="00624F79"/>
    <w:rsid w:val="00625E35"/>
    <w:rsid w:val="00625E65"/>
    <w:rsid w:val="00626B00"/>
    <w:rsid w:val="00626C00"/>
    <w:rsid w:val="00627137"/>
    <w:rsid w:val="006272A0"/>
    <w:rsid w:val="00627853"/>
    <w:rsid w:val="00630583"/>
    <w:rsid w:val="006329BD"/>
    <w:rsid w:val="00635CA5"/>
    <w:rsid w:val="00636530"/>
    <w:rsid w:val="00636C0B"/>
    <w:rsid w:val="006403B9"/>
    <w:rsid w:val="0064084F"/>
    <w:rsid w:val="00640BEC"/>
    <w:rsid w:val="00640DB7"/>
    <w:rsid w:val="00641266"/>
    <w:rsid w:val="00641569"/>
    <w:rsid w:val="0064184E"/>
    <w:rsid w:val="00642A3E"/>
    <w:rsid w:val="00644DC2"/>
    <w:rsid w:val="00645601"/>
    <w:rsid w:val="00646C65"/>
    <w:rsid w:val="00647CBC"/>
    <w:rsid w:val="0065068C"/>
    <w:rsid w:val="0065081B"/>
    <w:rsid w:val="0065111B"/>
    <w:rsid w:val="006516FF"/>
    <w:rsid w:val="0065197C"/>
    <w:rsid w:val="00652F56"/>
    <w:rsid w:val="0065344E"/>
    <w:rsid w:val="00653C2E"/>
    <w:rsid w:val="00653DED"/>
    <w:rsid w:val="0065467F"/>
    <w:rsid w:val="006557C8"/>
    <w:rsid w:val="006559DA"/>
    <w:rsid w:val="00655B2A"/>
    <w:rsid w:val="00655D5C"/>
    <w:rsid w:val="00656A9E"/>
    <w:rsid w:val="0065773A"/>
    <w:rsid w:val="006579C7"/>
    <w:rsid w:val="006608BD"/>
    <w:rsid w:val="00660FCA"/>
    <w:rsid w:val="00661657"/>
    <w:rsid w:val="00663571"/>
    <w:rsid w:val="00663819"/>
    <w:rsid w:val="00663C67"/>
    <w:rsid w:val="00663DB7"/>
    <w:rsid w:val="006645F3"/>
    <w:rsid w:val="00664925"/>
    <w:rsid w:val="006654CE"/>
    <w:rsid w:val="00666704"/>
    <w:rsid w:val="00666BB9"/>
    <w:rsid w:val="006671CD"/>
    <w:rsid w:val="00667FD5"/>
    <w:rsid w:val="00670014"/>
    <w:rsid w:val="00670E94"/>
    <w:rsid w:val="00673AE4"/>
    <w:rsid w:val="00674DE8"/>
    <w:rsid w:val="00674FC4"/>
    <w:rsid w:val="006763DA"/>
    <w:rsid w:val="006767D6"/>
    <w:rsid w:val="00680680"/>
    <w:rsid w:val="0068080C"/>
    <w:rsid w:val="00683119"/>
    <w:rsid w:val="006848AE"/>
    <w:rsid w:val="006859CA"/>
    <w:rsid w:val="00685E1E"/>
    <w:rsid w:val="006903AA"/>
    <w:rsid w:val="006914B2"/>
    <w:rsid w:val="006915F8"/>
    <w:rsid w:val="00691C77"/>
    <w:rsid w:val="00692159"/>
    <w:rsid w:val="006956AF"/>
    <w:rsid w:val="006957C8"/>
    <w:rsid w:val="006958FD"/>
    <w:rsid w:val="006975E1"/>
    <w:rsid w:val="00697850"/>
    <w:rsid w:val="006A03D3"/>
    <w:rsid w:val="006A042A"/>
    <w:rsid w:val="006A0831"/>
    <w:rsid w:val="006A0C41"/>
    <w:rsid w:val="006A0D85"/>
    <w:rsid w:val="006A33BC"/>
    <w:rsid w:val="006A3AA1"/>
    <w:rsid w:val="006A63CB"/>
    <w:rsid w:val="006A689B"/>
    <w:rsid w:val="006A6D98"/>
    <w:rsid w:val="006A7341"/>
    <w:rsid w:val="006B0BD7"/>
    <w:rsid w:val="006B262A"/>
    <w:rsid w:val="006B3294"/>
    <w:rsid w:val="006B3547"/>
    <w:rsid w:val="006B3B23"/>
    <w:rsid w:val="006B431A"/>
    <w:rsid w:val="006B4F86"/>
    <w:rsid w:val="006B5F7A"/>
    <w:rsid w:val="006B690F"/>
    <w:rsid w:val="006B715A"/>
    <w:rsid w:val="006B731D"/>
    <w:rsid w:val="006B7E34"/>
    <w:rsid w:val="006C1C31"/>
    <w:rsid w:val="006C3DF4"/>
    <w:rsid w:val="006C4509"/>
    <w:rsid w:val="006C4573"/>
    <w:rsid w:val="006C4836"/>
    <w:rsid w:val="006C497E"/>
    <w:rsid w:val="006C4FD5"/>
    <w:rsid w:val="006C515A"/>
    <w:rsid w:val="006D0410"/>
    <w:rsid w:val="006D1E86"/>
    <w:rsid w:val="006D211F"/>
    <w:rsid w:val="006D28DA"/>
    <w:rsid w:val="006D2F72"/>
    <w:rsid w:val="006D41AF"/>
    <w:rsid w:val="006D5180"/>
    <w:rsid w:val="006D72B4"/>
    <w:rsid w:val="006E046C"/>
    <w:rsid w:val="006E1EFA"/>
    <w:rsid w:val="006E2332"/>
    <w:rsid w:val="006E367C"/>
    <w:rsid w:val="006E509F"/>
    <w:rsid w:val="006E5680"/>
    <w:rsid w:val="006E58C9"/>
    <w:rsid w:val="006E6226"/>
    <w:rsid w:val="006E6430"/>
    <w:rsid w:val="006E654A"/>
    <w:rsid w:val="006E688A"/>
    <w:rsid w:val="006E6B26"/>
    <w:rsid w:val="006E73FC"/>
    <w:rsid w:val="006E7C2E"/>
    <w:rsid w:val="006E7E48"/>
    <w:rsid w:val="006F04FA"/>
    <w:rsid w:val="006F08FA"/>
    <w:rsid w:val="006F1512"/>
    <w:rsid w:val="006F17A9"/>
    <w:rsid w:val="006F23E7"/>
    <w:rsid w:val="006F3291"/>
    <w:rsid w:val="006F4426"/>
    <w:rsid w:val="006F4976"/>
    <w:rsid w:val="006F66FC"/>
    <w:rsid w:val="006F6A9E"/>
    <w:rsid w:val="006F7ED0"/>
    <w:rsid w:val="0070180F"/>
    <w:rsid w:val="00701B44"/>
    <w:rsid w:val="00701C23"/>
    <w:rsid w:val="00702A9C"/>
    <w:rsid w:val="00703C1A"/>
    <w:rsid w:val="007042AB"/>
    <w:rsid w:val="007044CF"/>
    <w:rsid w:val="007057E5"/>
    <w:rsid w:val="00706463"/>
    <w:rsid w:val="007066C8"/>
    <w:rsid w:val="00706764"/>
    <w:rsid w:val="00706EAB"/>
    <w:rsid w:val="00706FD7"/>
    <w:rsid w:val="007078EA"/>
    <w:rsid w:val="00710D77"/>
    <w:rsid w:val="00711811"/>
    <w:rsid w:val="00714D58"/>
    <w:rsid w:val="00714D6D"/>
    <w:rsid w:val="00717E7C"/>
    <w:rsid w:val="00720AE8"/>
    <w:rsid w:val="007222AE"/>
    <w:rsid w:val="00723607"/>
    <w:rsid w:val="00723BE1"/>
    <w:rsid w:val="0072528B"/>
    <w:rsid w:val="007254E1"/>
    <w:rsid w:val="007277D9"/>
    <w:rsid w:val="00727EC6"/>
    <w:rsid w:val="00730940"/>
    <w:rsid w:val="00730BE0"/>
    <w:rsid w:val="00730DB5"/>
    <w:rsid w:val="00731E66"/>
    <w:rsid w:val="007321D8"/>
    <w:rsid w:val="00732861"/>
    <w:rsid w:val="00733445"/>
    <w:rsid w:val="00734484"/>
    <w:rsid w:val="0073462B"/>
    <w:rsid w:val="00736760"/>
    <w:rsid w:val="0074149F"/>
    <w:rsid w:val="00741C35"/>
    <w:rsid w:val="00741C46"/>
    <w:rsid w:val="00741E80"/>
    <w:rsid w:val="007424D9"/>
    <w:rsid w:val="00742927"/>
    <w:rsid w:val="00742B9D"/>
    <w:rsid w:val="0074450C"/>
    <w:rsid w:val="00744FE7"/>
    <w:rsid w:val="00744FF9"/>
    <w:rsid w:val="00746A3D"/>
    <w:rsid w:val="00746F19"/>
    <w:rsid w:val="007475F9"/>
    <w:rsid w:val="00747B5C"/>
    <w:rsid w:val="00747F4D"/>
    <w:rsid w:val="00751E81"/>
    <w:rsid w:val="0075225B"/>
    <w:rsid w:val="00752C4B"/>
    <w:rsid w:val="00752D5A"/>
    <w:rsid w:val="00753A12"/>
    <w:rsid w:val="007563BD"/>
    <w:rsid w:val="007568EC"/>
    <w:rsid w:val="00756F4B"/>
    <w:rsid w:val="0076171E"/>
    <w:rsid w:val="00761F75"/>
    <w:rsid w:val="007635FA"/>
    <w:rsid w:val="0076386F"/>
    <w:rsid w:val="00764742"/>
    <w:rsid w:val="00764C65"/>
    <w:rsid w:val="00765A17"/>
    <w:rsid w:val="00766163"/>
    <w:rsid w:val="00766824"/>
    <w:rsid w:val="00766AF5"/>
    <w:rsid w:val="00767533"/>
    <w:rsid w:val="0076757D"/>
    <w:rsid w:val="00767967"/>
    <w:rsid w:val="00767A3E"/>
    <w:rsid w:val="00771992"/>
    <w:rsid w:val="00771C47"/>
    <w:rsid w:val="0077295F"/>
    <w:rsid w:val="00772D18"/>
    <w:rsid w:val="00773078"/>
    <w:rsid w:val="0077510A"/>
    <w:rsid w:val="00775185"/>
    <w:rsid w:val="007754D7"/>
    <w:rsid w:val="007758A6"/>
    <w:rsid w:val="0077793E"/>
    <w:rsid w:val="00781A80"/>
    <w:rsid w:val="0078246F"/>
    <w:rsid w:val="00782846"/>
    <w:rsid w:val="00786023"/>
    <w:rsid w:val="00786995"/>
    <w:rsid w:val="007910BB"/>
    <w:rsid w:val="00791B22"/>
    <w:rsid w:val="0079253D"/>
    <w:rsid w:val="007927DC"/>
    <w:rsid w:val="00795D96"/>
    <w:rsid w:val="00796DE9"/>
    <w:rsid w:val="007A11E1"/>
    <w:rsid w:val="007A1469"/>
    <w:rsid w:val="007A302B"/>
    <w:rsid w:val="007A357E"/>
    <w:rsid w:val="007A39D2"/>
    <w:rsid w:val="007A4AE2"/>
    <w:rsid w:val="007A4ED9"/>
    <w:rsid w:val="007A58CF"/>
    <w:rsid w:val="007A6691"/>
    <w:rsid w:val="007A7009"/>
    <w:rsid w:val="007A7039"/>
    <w:rsid w:val="007A7614"/>
    <w:rsid w:val="007A7ECC"/>
    <w:rsid w:val="007B04E9"/>
    <w:rsid w:val="007B14C5"/>
    <w:rsid w:val="007B229F"/>
    <w:rsid w:val="007B2407"/>
    <w:rsid w:val="007B2C8E"/>
    <w:rsid w:val="007B3765"/>
    <w:rsid w:val="007B41DB"/>
    <w:rsid w:val="007B4BE7"/>
    <w:rsid w:val="007B66F1"/>
    <w:rsid w:val="007B6987"/>
    <w:rsid w:val="007C0FCA"/>
    <w:rsid w:val="007C25F6"/>
    <w:rsid w:val="007C270D"/>
    <w:rsid w:val="007C27B1"/>
    <w:rsid w:val="007C2CE4"/>
    <w:rsid w:val="007C2FD9"/>
    <w:rsid w:val="007C3175"/>
    <w:rsid w:val="007C3710"/>
    <w:rsid w:val="007C49F3"/>
    <w:rsid w:val="007C51B0"/>
    <w:rsid w:val="007C7686"/>
    <w:rsid w:val="007C7E28"/>
    <w:rsid w:val="007C7EFB"/>
    <w:rsid w:val="007D070F"/>
    <w:rsid w:val="007D09C8"/>
    <w:rsid w:val="007D0D87"/>
    <w:rsid w:val="007D0F0F"/>
    <w:rsid w:val="007D14E5"/>
    <w:rsid w:val="007D1ABE"/>
    <w:rsid w:val="007D2409"/>
    <w:rsid w:val="007D2BB2"/>
    <w:rsid w:val="007D2E50"/>
    <w:rsid w:val="007D4006"/>
    <w:rsid w:val="007D647D"/>
    <w:rsid w:val="007E0874"/>
    <w:rsid w:val="007E14F8"/>
    <w:rsid w:val="007E1D1F"/>
    <w:rsid w:val="007E2B15"/>
    <w:rsid w:val="007E3257"/>
    <w:rsid w:val="007E5D0C"/>
    <w:rsid w:val="007E5EAF"/>
    <w:rsid w:val="007E67BA"/>
    <w:rsid w:val="007E6973"/>
    <w:rsid w:val="007F0C70"/>
    <w:rsid w:val="007F1C57"/>
    <w:rsid w:val="007F1EC3"/>
    <w:rsid w:val="007F3017"/>
    <w:rsid w:val="007F4B90"/>
    <w:rsid w:val="007F589B"/>
    <w:rsid w:val="007F5E12"/>
    <w:rsid w:val="007F711C"/>
    <w:rsid w:val="008000C1"/>
    <w:rsid w:val="00800124"/>
    <w:rsid w:val="00800695"/>
    <w:rsid w:val="00801A6E"/>
    <w:rsid w:val="00801EDD"/>
    <w:rsid w:val="00802628"/>
    <w:rsid w:val="00802B21"/>
    <w:rsid w:val="0080390D"/>
    <w:rsid w:val="008048FD"/>
    <w:rsid w:val="008056F7"/>
    <w:rsid w:val="00805F19"/>
    <w:rsid w:val="0080601C"/>
    <w:rsid w:val="00806315"/>
    <w:rsid w:val="0080761E"/>
    <w:rsid w:val="00807A14"/>
    <w:rsid w:val="00807EE6"/>
    <w:rsid w:val="0081084C"/>
    <w:rsid w:val="008112BE"/>
    <w:rsid w:val="00811CEF"/>
    <w:rsid w:val="00811D49"/>
    <w:rsid w:val="008123F5"/>
    <w:rsid w:val="0081290D"/>
    <w:rsid w:val="00812C6C"/>
    <w:rsid w:val="008140F5"/>
    <w:rsid w:val="008143FD"/>
    <w:rsid w:val="00814BFD"/>
    <w:rsid w:val="00815193"/>
    <w:rsid w:val="008174BE"/>
    <w:rsid w:val="0081770D"/>
    <w:rsid w:val="00822FD9"/>
    <w:rsid w:val="008237F3"/>
    <w:rsid w:val="00823E1E"/>
    <w:rsid w:val="0082458C"/>
    <w:rsid w:val="00825842"/>
    <w:rsid w:val="00825AC7"/>
    <w:rsid w:val="00826F2A"/>
    <w:rsid w:val="008324C4"/>
    <w:rsid w:val="008328F5"/>
    <w:rsid w:val="00832AD0"/>
    <w:rsid w:val="0083453D"/>
    <w:rsid w:val="008347CE"/>
    <w:rsid w:val="00837C00"/>
    <w:rsid w:val="00837D7C"/>
    <w:rsid w:val="00837E3B"/>
    <w:rsid w:val="00840003"/>
    <w:rsid w:val="00842416"/>
    <w:rsid w:val="00842DCE"/>
    <w:rsid w:val="00842F60"/>
    <w:rsid w:val="008436F5"/>
    <w:rsid w:val="00843923"/>
    <w:rsid w:val="00843EAB"/>
    <w:rsid w:val="00844D3A"/>
    <w:rsid w:val="008462A2"/>
    <w:rsid w:val="00846D44"/>
    <w:rsid w:val="0084708A"/>
    <w:rsid w:val="0084796E"/>
    <w:rsid w:val="0085110D"/>
    <w:rsid w:val="008527B5"/>
    <w:rsid w:val="00853A42"/>
    <w:rsid w:val="008540C3"/>
    <w:rsid w:val="00856237"/>
    <w:rsid w:val="00856668"/>
    <w:rsid w:val="00857795"/>
    <w:rsid w:val="00860478"/>
    <w:rsid w:val="00860C2C"/>
    <w:rsid w:val="00862A39"/>
    <w:rsid w:val="008639F5"/>
    <w:rsid w:val="0086515C"/>
    <w:rsid w:val="008655B5"/>
    <w:rsid w:val="008666C1"/>
    <w:rsid w:val="00867B20"/>
    <w:rsid w:val="00870163"/>
    <w:rsid w:val="008713B4"/>
    <w:rsid w:val="00871880"/>
    <w:rsid w:val="00871F10"/>
    <w:rsid w:val="00872089"/>
    <w:rsid w:val="0087373C"/>
    <w:rsid w:val="00874117"/>
    <w:rsid w:val="00874347"/>
    <w:rsid w:val="00876BB9"/>
    <w:rsid w:val="00876BE3"/>
    <w:rsid w:val="00877102"/>
    <w:rsid w:val="00877C2C"/>
    <w:rsid w:val="00881E23"/>
    <w:rsid w:val="0088205A"/>
    <w:rsid w:val="00882289"/>
    <w:rsid w:val="008824CF"/>
    <w:rsid w:val="00884469"/>
    <w:rsid w:val="00890459"/>
    <w:rsid w:val="00891401"/>
    <w:rsid w:val="00891D2A"/>
    <w:rsid w:val="00892E97"/>
    <w:rsid w:val="0089314C"/>
    <w:rsid w:val="00894AFD"/>
    <w:rsid w:val="00896294"/>
    <w:rsid w:val="008967A5"/>
    <w:rsid w:val="008A0529"/>
    <w:rsid w:val="008A069B"/>
    <w:rsid w:val="008A0D7D"/>
    <w:rsid w:val="008A0F97"/>
    <w:rsid w:val="008A1D8A"/>
    <w:rsid w:val="008A2A4A"/>
    <w:rsid w:val="008A2CDB"/>
    <w:rsid w:val="008A3565"/>
    <w:rsid w:val="008A3E6F"/>
    <w:rsid w:val="008A406F"/>
    <w:rsid w:val="008A4A6C"/>
    <w:rsid w:val="008A4F90"/>
    <w:rsid w:val="008A5F8F"/>
    <w:rsid w:val="008A6764"/>
    <w:rsid w:val="008A7137"/>
    <w:rsid w:val="008B1288"/>
    <w:rsid w:val="008B28FC"/>
    <w:rsid w:val="008B3869"/>
    <w:rsid w:val="008B3995"/>
    <w:rsid w:val="008B3E7E"/>
    <w:rsid w:val="008B4295"/>
    <w:rsid w:val="008B61A3"/>
    <w:rsid w:val="008B652F"/>
    <w:rsid w:val="008B6E9D"/>
    <w:rsid w:val="008B79B1"/>
    <w:rsid w:val="008B7D6B"/>
    <w:rsid w:val="008C0977"/>
    <w:rsid w:val="008C09B6"/>
    <w:rsid w:val="008C20B7"/>
    <w:rsid w:val="008C23B6"/>
    <w:rsid w:val="008C2D42"/>
    <w:rsid w:val="008C2D75"/>
    <w:rsid w:val="008C368A"/>
    <w:rsid w:val="008C3EB9"/>
    <w:rsid w:val="008C4044"/>
    <w:rsid w:val="008C630F"/>
    <w:rsid w:val="008D0932"/>
    <w:rsid w:val="008D10DC"/>
    <w:rsid w:val="008D192E"/>
    <w:rsid w:val="008D3297"/>
    <w:rsid w:val="008D34D0"/>
    <w:rsid w:val="008D378F"/>
    <w:rsid w:val="008D3FCA"/>
    <w:rsid w:val="008D4074"/>
    <w:rsid w:val="008D4C47"/>
    <w:rsid w:val="008D6A9F"/>
    <w:rsid w:val="008E1B0B"/>
    <w:rsid w:val="008E2667"/>
    <w:rsid w:val="008E2F3D"/>
    <w:rsid w:val="008E39C9"/>
    <w:rsid w:val="008E44F3"/>
    <w:rsid w:val="008E45ED"/>
    <w:rsid w:val="008E6B3E"/>
    <w:rsid w:val="008E77EB"/>
    <w:rsid w:val="008F0193"/>
    <w:rsid w:val="008F05CD"/>
    <w:rsid w:val="008F1FC9"/>
    <w:rsid w:val="008F506C"/>
    <w:rsid w:val="008F777F"/>
    <w:rsid w:val="008F7C5C"/>
    <w:rsid w:val="008F7E3D"/>
    <w:rsid w:val="00900930"/>
    <w:rsid w:val="009014E5"/>
    <w:rsid w:val="009030ED"/>
    <w:rsid w:val="00904DCD"/>
    <w:rsid w:val="009053EB"/>
    <w:rsid w:val="00905A56"/>
    <w:rsid w:val="00906693"/>
    <w:rsid w:val="0090699B"/>
    <w:rsid w:val="00906A90"/>
    <w:rsid w:val="00907E35"/>
    <w:rsid w:val="009107BA"/>
    <w:rsid w:val="009108EF"/>
    <w:rsid w:val="00910B23"/>
    <w:rsid w:val="00910C1E"/>
    <w:rsid w:val="00911525"/>
    <w:rsid w:val="00912A39"/>
    <w:rsid w:val="00913283"/>
    <w:rsid w:val="0091352C"/>
    <w:rsid w:val="009136FF"/>
    <w:rsid w:val="009139D5"/>
    <w:rsid w:val="0091471F"/>
    <w:rsid w:val="009166C2"/>
    <w:rsid w:val="00917407"/>
    <w:rsid w:val="00917D99"/>
    <w:rsid w:val="00920747"/>
    <w:rsid w:val="0092113D"/>
    <w:rsid w:val="00922BCF"/>
    <w:rsid w:val="00925D46"/>
    <w:rsid w:val="009263AA"/>
    <w:rsid w:val="00926792"/>
    <w:rsid w:val="00926957"/>
    <w:rsid w:val="00926AFD"/>
    <w:rsid w:val="00930461"/>
    <w:rsid w:val="00930793"/>
    <w:rsid w:val="00930B29"/>
    <w:rsid w:val="00930D63"/>
    <w:rsid w:val="00932120"/>
    <w:rsid w:val="00932277"/>
    <w:rsid w:val="00932E3C"/>
    <w:rsid w:val="009334B7"/>
    <w:rsid w:val="00934CED"/>
    <w:rsid w:val="00935D09"/>
    <w:rsid w:val="00935E0E"/>
    <w:rsid w:val="00937D2D"/>
    <w:rsid w:val="0094124F"/>
    <w:rsid w:val="00941491"/>
    <w:rsid w:val="00941851"/>
    <w:rsid w:val="00943CF1"/>
    <w:rsid w:val="00943F16"/>
    <w:rsid w:val="00944491"/>
    <w:rsid w:val="00944664"/>
    <w:rsid w:val="00944E7A"/>
    <w:rsid w:val="00945818"/>
    <w:rsid w:val="00946456"/>
    <w:rsid w:val="00946E85"/>
    <w:rsid w:val="00947372"/>
    <w:rsid w:val="00947ACD"/>
    <w:rsid w:val="00950675"/>
    <w:rsid w:val="00950CCE"/>
    <w:rsid w:val="009518B2"/>
    <w:rsid w:val="009519BD"/>
    <w:rsid w:val="00951A07"/>
    <w:rsid w:val="009521DF"/>
    <w:rsid w:val="009522F8"/>
    <w:rsid w:val="00952A6A"/>
    <w:rsid w:val="00954940"/>
    <w:rsid w:val="00955129"/>
    <w:rsid w:val="00955194"/>
    <w:rsid w:val="00955B23"/>
    <w:rsid w:val="00955D46"/>
    <w:rsid w:val="00956E9D"/>
    <w:rsid w:val="00961293"/>
    <w:rsid w:val="009612BC"/>
    <w:rsid w:val="00963F7F"/>
    <w:rsid w:val="009640FE"/>
    <w:rsid w:val="00964184"/>
    <w:rsid w:val="0096418F"/>
    <w:rsid w:val="00965961"/>
    <w:rsid w:val="00965E22"/>
    <w:rsid w:val="00967243"/>
    <w:rsid w:val="00967313"/>
    <w:rsid w:val="00967BAC"/>
    <w:rsid w:val="0097029E"/>
    <w:rsid w:val="00970FA3"/>
    <w:rsid w:val="00972B21"/>
    <w:rsid w:val="00972EB6"/>
    <w:rsid w:val="0097357C"/>
    <w:rsid w:val="009745EF"/>
    <w:rsid w:val="009757AF"/>
    <w:rsid w:val="00975E80"/>
    <w:rsid w:val="00977046"/>
    <w:rsid w:val="009774F9"/>
    <w:rsid w:val="0098082D"/>
    <w:rsid w:val="00980B0F"/>
    <w:rsid w:val="00980E38"/>
    <w:rsid w:val="009843D1"/>
    <w:rsid w:val="00984A71"/>
    <w:rsid w:val="009905FB"/>
    <w:rsid w:val="009907DC"/>
    <w:rsid w:val="009916C9"/>
    <w:rsid w:val="00993390"/>
    <w:rsid w:val="009938FA"/>
    <w:rsid w:val="00994584"/>
    <w:rsid w:val="00994AA4"/>
    <w:rsid w:val="00994EB2"/>
    <w:rsid w:val="0099508C"/>
    <w:rsid w:val="0099653C"/>
    <w:rsid w:val="009967D6"/>
    <w:rsid w:val="00997327"/>
    <w:rsid w:val="009A04AF"/>
    <w:rsid w:val="009A1333"/>
    <w:rsid w:val="009A1950"/>
    <w:rsid w:val="009A1B23"/>
    <w:rsid w:val="009A2EBB"/>
    <w:rsid w:val="009A36EE"/>
    <w:rsid w:val="009A443E"/>
    <w:rsid w:val="009A46FE"/>
    <w:rsid w:val="009A4AA1"/>
    <w:rsid w:val="009A5F8F"/>
    <w:rsid w:val="009A60C4"/>
    <w:rsid w:val="009A668C"/>
    <w:rsid w:val="009A674F"/>
    <w:rsid w:val="009A7180"/>
    <w:rsid w:val="009B0022"/>
    <w:rsid w:val="009B16AD"/>
    <w:rsid w:val="009B1B63"/>
    <w:rsid w:val="009B280A"/>
    <w:rsid w:val="009B35D2"/>
    <w:rsid w:val="009B3C3F"/>
    <w:rsid w:val="009B3FDB"/>
    <w:rsid w:val="009B4A6E"/>
    <w:rsid w:val="009B5008"/>
    <w:rsid w:val="009B53DB"/>
    <w:rsid w:val="009B5713"/>
    <w:rsid w:val="009B5821"/>
    <w:rsid w:val="009B5BD3"/>
    <w:rsid w:val="009B616F"/>
    <w:rsid w:val="009B67FE"/>
    <w:rsid w:val="009B7F10"/>
    <w:rsid w:val="009C0AC4"/>
    <w:rsid w:val="009C1198"/>
    <w:rsid w:val="009C177E"/>
    <w:rsid w:val="009C17EB"/>
    <w:rsid w:val="009C271B"/>
    <w:rsid w:val="009C2D0D"/>
    <w:rsid w:val="009C3CAF"/>
    <w:rsid w:val="009C3E93"/>
    <w:rsid w:val="009C5917"/>
    <w:rsid w:val="009C65D7"/>
    <w:rsid w:val="009C6D5B"/>
    <w:rsid w:val="009D1F74"/>
    <w:rsid w:val="009D2B67"/>
    <w:rsid w:val="009D2D64"/>
    <w:rsid w:val="009D526C"/>
    <w:rsid w:val="009D565C"/>
    <w:rsid w:val="009E0D8C"/>
    <w:rsid w:val="009E2A01"/>
    <w:rsid w:val="009E3859"/>
    <w:rsid w:val="009E39F2"/>
    <w:rsid w:val="009E4849"/>
    <w:rsid w:val="009E4A65"/>
    <w:rsid w:val="009E55B4"/>
    <w:rsid w:val="009E75FB"/>
    <w:rsid w:val="009F14B6"/>
    <w:rsid w:val="009F17D1"/>
    <w:rsid w:val="009F1974"/>
    <w:rsid w:val="009F2327"/>
    <w:rsid w:val="009F241A"/>
    <w:rsid w:val="009F430A"/>
    <w:rsid w:val="009F4F91"/>
    <w:rsid w:val="009F528C"/>
    <w:rsid w:val="009F5757"/>
    <w:rsid w:val="009F70B0"/>
    <w:rsid w:val="009F7BFF"/>
    <w:rsid w:val="00A0076E"/>
    <w:rsid w:val="00A00776"/>
    <w:rsid w:val="00A01A92"/>
    <w:rsid w:val="00A01F87"/>
    <w:rsid w:val="00A040C1"/>
    <w:rsid w:val="00A04D40"/>
    <w:rsid w:val="00A0605F"/>
    <w:rsid w:val="00A06D4A"/>
    <w:rsid w:val="00A07D73"/>
    <w:rsid w:val="00A10886"/>
    <w:rsid w:val="00A129A1"/>
    <w:rsid w:val="00A1336A"/>
    <w:rsid w:val="00A137A1"/>
    <w:rsid w:val="00A1396D"/>
    <w:rsid w:val="00A142E4"/>
    <w:rsid w:val="00A14B86"/>
    <w:rsid w:val="00A15944"/>
    <w:rsid w:val="00A15AD1"/>
    <w:rsid w:val="00A1756D"/>
    <w:rsid w:val="00A17603"/>
    <w:rsid w:val="00A20838"/>
    <w:rsid w:val="00A20AB4"/>
    <w:rsid w:val="00A2146B"/>
    <w:rsid w:val="00A22A90"/>
    <w:rsid w:val="00A24131"/>
    <w:rsid w:val="00A250F7"/>
    <w:rsid w:val="00A25F48"/>
    <w:rsid w:val="00A26964"/>
    <w:rsid w:val="00A27000"/>
    <w:rsid w:val="00A300DD"/>
    <w:rsid w:val="00A30986"/>
    <w:rsid w:val="00A30AB1"/>
    <w:rsid w:val="00A30FF6"/>
    <w:rsid w:val="00A316F1"/>
    <w:rsid w:val="00A3230F"/>
    <w:rsid w:val="00A33526"/>
    <w:rsid w:val="00A33E72"/>
    <w:rsid w:val="00A34360"/>
    <w:rsid w:val="00A345DC"/>
    <w:rsid w:val="00A34DD0"/>
    <w:rsid w:val="00A35362"/>
    <w:rsid w:val="00A35434"/>
    <w:rsid w:val="00A354CE"/>
    <w:rsid w:val="00A365A2"/>
    <w:rsid w:val="00A368B1"/>
    <w:rsid w:val="00A36EDA"/>
    <w:rsid w:val="00A37A93"/>
    <w:rsid w:val="00A40B8F"/>
    <w:rsid w:val="00A40D66"/>
    <w:rsid w:val="00A41660"/>
    <w:rsid w:val="00A41DEB"/>
    <w:rsid w:val="00A41E6C"/>
    <w:rsid w:val="00A439E9"/>
    <w:rsid w:val="00A43A40"/>
    <w:rsid w:val="00A46DAC"/>
    <w:rsid w:val="00A50E9C"/>
    <w:rsid w:val="00A518C7"/>
    <w:rsid w:val="00A52372"/>
    <w:rsid w:val="00A5282A"/>
    <w:rsid w:val="00A53568"/>
    <w:rsid w:val="00A53990"/>
    <w:rsid w:val="00A54577"/>
    <w:rsid w:val="00A55018"/>
    <w:rsid w:val="00A552F2"/>
    <w:rsid w:val="00A55B76"/>
    <w:rsid w:val="00A56A39"/>
    <w:rsid w:val="00A5753E"/>
    <w:rsid w:val="00A6014C"/>
    <w:rsid w:val="00A61716"/>
    <w:rsid w:val="00A6212A"/>
    <w:rsid w:val="00A6237A"/>
    <w:rsid w:val="00A65585"/>
    <w:rsid w:val="00A65910"/>
    <w:rsid w:val="00A65E2A"/>
    <w:rsid w:val="00A6771F"/>
    <w:rsid w:val="00A67CB4"/>
    <w:rsid w:val="00A710F8"/>
    <w:rsid w:val="00A758B2"/>
    <w:rsid w:val="00A75BEC"/>
    <w:rsid w:val="00A75C68"/>
    <w:rsid w:val="00A824FB"/>
    <w:rsid w:val="00A83A0B"/>
    <w:rsid w:val="00A8521A"/>
    <w:rsid w:val="00A855D1"/>
    <w:rsid w:val="00A85E00"/>
    <w:rsid w:val="00A86ECD"/>
    <w:rsid w:val="00A87DE0"/>
    <w:rsid w:val="00A9009B"/>
    <w:rsid w:val="00A90CB7"/>
    <w:rsid w:val="00A90F2E"/>
    <w:rsid w:val="00A91D65"/>
    <w:rsid w:val="00A92459"/>
    <w:rsid w:val="00A93565"/>
    <w:rsid w:val="00A9491A"/>
    <w:rsid w:val="00A95078"/>
    <w:rsid w:val="00A950C8"/>
    <w:rsid w:val="00A95358"/>
    <w:rsid w:val="00A95D4E"/>
    <w:rsid w:val="00A96829"/>
    <w:rsid w:val="00A96B39"/>
    <w:rsid w:val="00AA05B8"/>
    <w:rsid w:val="00AA094A"/>
    <w:rsid w:val="00AA0A40"/>
    <w:rsid w:val="00AA0C62"/>
    <w:rsid w:val="00AA0F7B"/>
    <w:rsid w:val="00AA0F8F"/>
    <w:rsid w:val="00AA1DA2"/>
    <w:rsid w:val="00AA25BD"/>
    <w:rsid w:val="00AA2719"/>
    <w:rsid w:val="00AA33E9"/>
    <w:rsid w:val="00AA4001"/>
    <w:rsid w:val="00AA455B"/>
    <w:rsid w:val="00AA6735"/>
    <w:rsid w:val="00AA7B23"/>
    <w:rsid w:val="00AA7CED"/>
    <w:rsid w:val="00AB1048"/>
    <w:rsid w:val="00AB1B93"/>
    <w:rsid w:val="00AB1C9E"/>
    <w:rsid w:val="00AB2EB2"/>
    <w:rsid w:val="00AB38FD"/>
    <w:rsid w:val="00AB3D0A"/>
    <w:rsid w:val="00AB3F7E"/>
    <w:rsid w:val="00AB5505"/>
    <w:rsid w:val="00AB634B"/>
    <w:rsid w:val="00AB7E66"/>
    <w:rsid w:val="00AC0D57"/>
    <w:rsid w:val="00AC0E81"/>
    <w:rsid w:val="00AC11D1"/>
    <w:rsid w:val="00AC1382"/>
    <w:rsid w:val="00AC1C97"/>
    <w:rsid w:val="00AC235F"/>
    <w:rsid w:val="00AC263C"/>
    <w:rsid w:val="00AC2DE3"/>
    <w:rsid w:val="00AC397D"/>
    <w:rsid w:val="00AC41F3"/>
    <w:rsid w:val="00AC786E"/>
    <w:rsid w:val="00AC7EC2"/>
    <w:rsid w:val="00AD00CD"/>
    <w:rsid w:val="00AD162A"/>
    <w:rsid w:val="00AD2102"/>
    <w:rsid w:val="00AD264E"/>
    <w:rsid w:val="00AD345B"/>
    <w:rsid w:val="00AD45D7"/>
    <w:rsid w:val="00AD5851"/>
    <w:rsid w:val="00AD6AB5"/>
    <w:rsid w:val="00AE04F6"/>
    <w:rsid w:val="00AE131B"/>
    <w:rsid w:val="00AE14E4"/>
    <w:rsid w:val="00AE1CFD"/>
    <w:rsid w:val="00AE1F91"/>
    <w:rsid w:val="00AE2D1F"/>
    <w:rsid w:val="00AE498A"/>
    <w:rsid w:val="00AE4D17"/>
    <w:rsid w:val="00AE690C"/>
    <w:rsid w:val="00AE69F0"/>
    <w:rsid w:val="00AF02BF"/>
    <w:rsid w:val="00AF0741"/>
    <w:rsid w:val="00AF145F"/>
    <w:rsid w:val="00AF50A9"/>
    <w:rsid w:val="00AF5212"/>
    <w:rsid w:val="00AF6C2F"/>
    <w:rsid w:val="00AF7153"/>
    <w:rsid w:val="00AF725B"/>
    <w:rsid w:val="00AF75D1"/>
    <w:rsid w:val="00AF7BC8"/>
    <w:rsid w:val="00B0025D"/>
    <w:rsid w:val="00B0027B"/>
    <w:rsid w:val="00B0057D"/>
    <w:rsid w:val="00B00635"/>
    <w:rsid w:val="00B010DC"/>
    <w:rsid w:val="00B0147C"/>
    <w:rsid w:val="00B02024"/>
    <w:rsid w:val="00B029BF"/>
    <w:rsid w:val="00B040ED"/>
    <w:rsid w:val="00B04308"/>
    <w:rsid w:val="00B04662"/>
    <w:rsid w:val="00B059D0"/>
    <w:rsid w:val="00B05B20"/>
    <w:rsid w:val="00B07AEE"/>
    <w:rsid w:val="00B11806"/>
    <w:rsid w:val="00B11A15"/>
    <w:rsid w:val="00B11AE9"/>
    <w:rsid w:val="00B125F2"/>
    <w:rsid w:val="00B125F4"/>
    <w:rsid w:val="00B14746"/>
    <w:rsid w:val="00B1499A"/>
    <w:rsid w:val="00B15B78"/>
    <w:rsid w:val="00B17037"/>
    <w:rsid w:val="00B20CD9"/>
    <w:rsid w:val="00B22430"/>
    <w:rsid w:val="00B2282A"/>
    <w:rsid w:val="00B22F30"/>
    <w:rsid w:val="00B239C5"/>
    <w:rsid w:val="00B23C16"/>
    <w:rsid w:val="00B23F3A"/>
    <w:rsid w:val="00B241CF"/>
    <w:rsid w:val="00B241D3"/>
    <w:rsid w:val="00B244A3"/>
    <w:rsid w:val="00B24B0D"/>
    <w:rsid w:val="00B25CA0"/>
    <w:rsid w:val="00B26F3A"/>
    <w:rsid w:val="00B303E2"/>
    <w:rsid w:val="00B30F02"/>
    <w:rsid w:val="00B31CE0"/>
    <w:rsid w:val="00B3229A"/>
    <w:rsid w:val="00B323CB"/>
    <w:rsid w:val="00B32512"/>
    <w:rsid w:val="00B32626"/>
    <w:rsid w:val="00B330EB"/>
    <w:rsid w:val="00B334F0"/>
    <w:rsid w:val="00B356A5"/>
    <w:rsid w:val="00B3609C"/>
    <w:rsid w:val="00B36841"/>
    <w:rsid w:val="00B37052"/>
    <w:rsid w:val="00B41C7F"/>
    <w:rsid w:val="00B4256A"/>
    <w:rsid w:val="00B43357"/>
    <w:rsid w:val="00B43C1A"/>
    <w:rsid w:val="00B4674A"/>
    <w:rsid w:val="00B47397"/>
    <w:rsid w:val="00B4743C"/>
    <w:rsid w:val="00B4750A"/>
    <w:rsid w:val="00B500B2"/>
    <w:rsid w:val="00B515AC"/>
    <w:rsid w:val="00B51D11"/>
    <w:rsid w:val="00B52FB5"/>
    <w:rsid w:val="00B533DF"/>
    <w:rsid w:val="00B53A2E"/>
    <w:rsid w:val="00B53BC1"/>
    <w:rsid w:val="00B53C03"/>
    <w:rsid w:val="00B53CDF"/>
    <w:rsid w:val="00B54AC2"/>
    <w:rsid w:val="00B56492"/>
    <w:rsid w:val="00B5682A"/>
    <w:rsid w:val="00B57ED8"/>
    <w:rsid w:val="00B62504"/>
    <w:rsid w:val="00B633EE"/>
    <w:rsid w:val="00B63472"/>
    <w:rsid w:val="00B63668"/>
    <w:rsid w:val="00B640FA"/>
    <w:rsid w:val="00B643C1"/>
    <w:rsid w:val="00B64CC4"/>
    <w:rsid w:val="00B64F6A"/>
    <w:rsid w:val="00B66DCB"/>
    <w:rsid w:val="00B7087B"/>
    <w:rsid w:val="00B7157B"/>
    <w:rsid w:val="00B715A9"/>
    <w:rsid w:val="00B74BF2"/>
    <w:rsid w:val="00B75192"/>
    <w:rsid w:val="00B75C0A"/>
    <w:rsid w:val="00B75C48"/>
    <w:rsid w:val="00B772AF"/>
    <w:rsid w:val="00B77572"/>
    <w:rsid w:val="00B7789A"/>
    <w:rsid w:val="00B81F1F"/>
    <w:rsid w:val="00B82461"/>
    <w:rsid w:val="00B82671"/>
    <w:rsid w:val="00B8268F"/>
    <w:rsid w:val="00B83F18"/>
    <w:rsid w:val="00B84C41"/>
    <w:rsid w:val="00B85060"/>
    <w:rsid w:val="00B86D2B"/>
    <w:rsid w:val="00B90245"/>
    <w:rsid w:val="00B90E8D"/>
    <w:rsid w:val="00B91E31"/>
    <w:rsid w:val="00B92B6C"/>
    <w:rsid w:val="00B92BFE"/>
    <w:rsid w:val="00B93344"/>
    <w:rsid w:val="00B93954"/>
    <w:rsid w:val="00B955C8"/>
    <w:rsid w:val="00B95CA6"/>
    <w:rsid w:val="00B97986"/>
    <w:rsid w:val="00BA2BE6"/>
    <w:rsid w:val="00BA3CFC"/>
    <w:rsid w:val="00BA4240"/>
    <w:rsid w:val="00BA470F"/>
    <w:rsid w:val="00BA4B33"/>
    <w:rsid w:val="00BA5B5A"/>
    <w:rsid w:val="00BA5DC9"/>
    <w:rsid w:val="00BA6024"/>
    <w:rsid w:val="00BA6A05"/>
    <w:rsid w:val="00BA7037"/>
    <w:rsid w:val="00BA7C7D"/>
    <w:rsid w:val="00BA7DAD"/>
    <w:rsid w:val="00BB0128"/>
    <w:rsid w:val="00BB0205"/>
    <w:rsid w:val="00BB1260"/>
    <w:rsid w:val="00BB1487"/>
    <w:rsid w:val="00BB1C83"/>
    <w:rsid w:val="00BB2555"/>
    <w:rsid w:val="00BB3327"/>
    <w:rsid w:val="00BB5186"/>
    <w:rsid w:val="00BB5594"/>
    <w:rsid w:val="00BB604F"/>
    <w:rsid w:val="00BB6268"/>
    <w:rsid w:val="00BB79A1"/>
    <w:rsid w:val="00BC0E1D"/>
    <w:rsid w:val="00BC0ED2"/>
    <w:rsid w:val="00BC29C4"/>
    <w:rsid w:val="00BC41EF"/>
    <w:rsid w:val="00BC4314"/>
    <w:rsid w:val="00BC431D"/>
    <w:rsid w:val="00BC4A41"/>
    <w:rsid w:val="00BC6695"/>
    <w:rsid w:val="00BC6D8C"/>
    <w:rsid w:val="00BC6EA2"/>
    <w:rsid w:val="00BC7F1B"/>
    <w:rsid w:val="00BC7F84"/>
    <w:rsid w:val="00BD097C"/>
    <w:rsid w:val="00BD11AB"/>
    <w:rsid w:val="00BD1C57"/>
    <w:rsid w:val="00BD28AF"/>
    <w:rsid w:val="00BD3599"/>
    <w:rsid w:val="00BD39ED"/>
    <w:rsid w:val="00BD4484"/>
    <w:rsid w:val="00BD4F8A"/>
    <w:rsid w:val="00BD62FB"/>
    <w:rsid w:val="00BD667F"/>
    <w:rsid w:val="00BD6AC7"/>
    <w:rsid w:val="00BD7063"/>
    <w:rsid w:val="00BE0468"/>
    <w:rsid w:val="00BE0B7F"/>
    <w:rsid w:val="00BE0C68"/>
    <w:rsid w:val="00BE1FDA"/>
    <w:rsid w:val="00BE2316"/>
    <w:rsid w:val="00BE2378"/>
    <w:rsid w:val="00BE23D5"/>
    <w:rsid w:val="00BE2C1A"/>
    <w:rsid w:val="00BE30C2"/>
    <w:rsid w:val="00BE33A5"/>
    <w:rsid w:val="00BE4027"/>
    <w:rsid w:val="00BE5944"/>
    <w:rsid w:val="00BE5BBF"/>
    <w:rsid w:val="00BE70FF"/>
    <w:rsid w:val="00BE79F9"/>
    <w:rsid w:val="00BF0D4D"/>
    <w:rsid w:val="00BF0FD4"/>
    <w:rsid w:val="00BF1407"/>
    <w:rsid w:val="00BF1FEF"/>
    <w:rsid w:val="00BF22F1"/>
    <w:rsid w:val="00BF2512"/>
    <w:rsid w:val="00BF2DAC"/>
    <w:rsid w:val="00BF3E24"/>
    <w:rsid w:val="00BF418D"/>
    <w:rsid w:val="00BF5796"/>
    <w:rsid w:val="00BF583D"/>
    <w:rsid w:val="00BF5D25"/>
    <w:rsid w:val="00BF7B79"/>
    <w:rsid w:val="00C0079D"/>
    <w:rsid w:val="00C00E2E"/>
    <w:rsid w:val="00C0102E"/>
    <w:rsid w:val="00C01F71"/>
    <w:rsid w:val="00C01F74"/>
    <w:rsid w:val="00C021D8"/>
    <w:rsid w:val="00C0279B"/>
    <w:rsid w:val="00C02B45"/>
    <w:rsid w:val="00C03A98"/>
    <w:rsid w:val="00C03ED6"/>
    <w:rsid w:val="00C04E37"/>
    <w:rsid w:val="00C05F0F"/>
    <w:rsid w:val="00C0602E"/>
    <w:rsid w:val="00C1048F"/>
    <w:rsid w:val="00C117D9"/>
    <w:rsid w:val="00C118F0"/>
    <w:rsid w:val="00C1201B"/>
    <w:rsid w:val="00C12888"/>
    <w:rsid w:val="00C1397B"/>
    <w:rsid w:val="00C1480B"/>
    <w:rsid w:val="00C1492B"/>
    <w:rsid w:val="00C1527C"/>
    <w:rsid w:val="00C15307"/>
    <w:rsid w:val="00C15A43"/>
    <w:rsid w:val="00C15F7E"/>
    <w:rsid w:val="00C17613"/>
    <w:rsid w:val="00C17636"/>
    <w:rsid w:val="00C1778E"/>
    <w:rsid w:val="00C17DB6"/>
    <w:rsid w:val="00C17FB4"/>
    <w:rsid w:val="00C20D44"/>
    <w:rsid w:val="00C225E1"/>
    <w:rsid w:val="00C22CA3"/>
    <w:rsid w:val="00C239C0"/>
    <w:rsid w:val="00C24DD1"/>
    <w:rsid w:val="00C26300"/>
    <w:rsid w:val="00C26C5A"/>
    <w:rsid w:val="00C270B6"/>
    <w:rsid w:val="00C274F1"/>
    <w:rsid w:val="00C2753F"/>
    <w:rsid w:val="00C30E16"/>
    <w:rsid w:val="00C31896"/>
    <w:rsid w:val="00C32592"/>
    <w:rsid w:val="00C329AC"/>
    <w:rsid w:val="00C338A9"/>
    <w:rsid w:val="00C3425E"/>
    <w:rsid w:val="00C346E6"/>
    <w:rsid w:val="00C348B3"/>
    <w:rsid w:val="00C34C43"/>
    <w:rsid w:val="00C36293"/>
    <w:rsid w:val="00C362E4"/>
    <w:rsid w:val="00C3641F"/>
    <w:rsid w:val="00C369B1"/>
    <w:rsid w:val="00C37116"/>
    <w:rsid w:val="00C40145"/>
    <w:rsid w:val="00C40381"/>
    <w:rsid w:val="00C40598"/>
    <w:rsid w:val="00C41113"/>
    <w:rsid w:val="00C414FA"/>
    <w:rsid w:val="00C41520"/>
    <w:rsid w:val="00C41707"/>
    <w:rsid w:val="00C42E91"/>
    <w:rsid w:val="00C43DEB"/>
    <w:rsid w:val="00C44242"/>
    <w:rsid w:val="00C44719"/>
    <w:rsid w:val="00C450BC"/>
    <w:rsid w:val="00C4644F"/>
    <w:rsid w:val="00C464D8"/>
    <w:rsid w:val="00C4671E"/>
    <w:rsid w:val="00C478E8"/>
    <w:rsid w:val="00C47C3F"/>
    <w:rsid w:val="00C50144"/>
    <w:rsid w:val="00C503DF"/>
    <w:rsid w:val="00C50885"/>
    <w:rsid w:val="00C517C3"/>
    <w:rsid w:val="00C518EC"/>
    <w:rsid w:val="00C51F18"/>
    <w:rsid w:val="00C5250E"/>
    <w:rsid w:val="00C5308B"/>
    <w:rsid w:val="00C5310F"/>
    <w:rsid w:val="00C53632"/>
    <w:rsid w:val="00C5364D"/>
    <w:rsid w:val="00C54F95"/>
    <w:rsid w:val="00C5739A"/>
    <w:rsid w:val="00C57A25"/>
    <w:rsid w:val="00C6023A"/>
    <w:rsid w:val="00C60AA5"/>
    <w:rsid w:val="00C6129B"/>
    <w:rsid w:val="00C63303"/>
    <w:rsid w:val="00C63C3E"/>
    <w:rsid w:val="00C65CB8"/>
    <w:rsid w:val="00C65E9E"/>
    <w:rsid w:val="00C67B68"/>
    <w:rsid w:val="00C67F2A"/>
    <w:rsid w:val="00C7116C"/>
    <w:rsid w:val="00C7231B"/>
    <w:rsid w:val="00C72707"/>
    <w:rsid w:val="00C744E2"/>
    <w:rsid w:val="00C74CF6"/>
    <w:rsid w:val="00C76893"/>
    <w:rsid w:val="00C76F13"/>
    <w:rsid w:val="00C80385"/>
    <w:rsid w:val="00C80C86"/>
    <w:rsid w:val="00C81175"/>
    <w:rsid w:val="00C818CE"/>
    <w:rsid w:val="00C82030"/>
    <w:rsid w:val="00C82955"/>
    <w:rsid w:val="00C82F7F"/>
    <w:rsid w:val="00C86805"/>
    <w:rsid w:val="00C86A3C"/>
    <w:rsid w:val="00C878D3"/>
    <w:rsid w:val="00C87D15"/>
    <w:rsid w:val="00C901F3"/>
    <w:rsid w:val="00C9039B"/>
    <w:rsid w:val="00C906F3"/>
    <w:rsid w:val="00C923DB"/>
    <w:rsid w:val="00C92686"/>
    <w:rsid w:val="00C9306D"/>
    <w:rsid w:val="00C943EA"/>
    <w:rsid w:val="00C95356"/>
    <w:rsid w:val="00C96CB0"/>
    <w:rsid w:val="00CA00CF"/>
    <w:rsid w:val="00CA011A"/>
    <w:rsid w:val="00CA0418"/>
    <w:rsid w:val="00CA0A75"/>
    <w:rsid w:val="00CA1BFF"/>
    <w:rsid w:val="00CA3BC2"/>
    <w:rsid w:val="00CA49E1"/>
    <w:rsid w:val="00CA4EAE"/>
    <w:rsid w:val="00CA5248"/>
    <w:rsid w:val="00CA677B"/>
    <w:rsid w:val="00CA684E"/>
    <w:rsid w:val="00CA69F8"/>
    <w:rsid w:val="00CA6E06"/>
    <w:rsid w:val="00CB00DC"/>
    <w:rsid w:val="00CB0317"/>
    <w:rsid w:val="00CB0D24"/>
    <w:rsid w:val="00CB198E"/>
    <w:rsid w:val="00CB4333"/>
    <w:rsid w:val="00CB6F5E"/>
    <w:rsid w:val="00CC06DC"/>
    <w:rsid w:val="00CC2987"/>
    <w:rsid w:val="00CC2D75"/>
    <w:rsid w:val="00CC3423"/>
    <w:rsid w:val="00CC3B27"/>
    <w:rsid w:val="00CC40FA"/>
    <w:rsid w:val="00CC48C1"/>
    <w:rsid w:val="00CC557C"/>
    <w:rsid w:val="00CC5587"/>
    <w:rsid w:val="00CC56DA"/>
    <w:rsid w:val="00CC56E4"/>
    <w:rsid w:val="00CC5F9D"/>
    <w:rsid w:val="00CC6F9F"/>
    <w:rsid w:val="00CD0DFB"/>
    <w:rsid w:val="00CD1B49"/>
    <w:rsid w:val="00CD1F22"/>
    <w:rsid w:val="00CD26FA"/>
    <w:rsid w:val="00CD27FF"/>
    <w:rsid w:val="00CD33C5"/>
    <w:rsid w:val="00CD4147"/>
    <w:rsid w:val="00CD5A86"/>
    <w:rsid w:val="00CD5CE6"/>
    <w:rsid w:val="00CD669A"/>
    <w:rsid w:val="00CD676F"/>
    <w:rsid w:val="00CD6A97"/>
    <w:rsid w:val="00CD6BA9"/>
    <w:rsid w:val="00CE00BD"/>
    <w:rsid w:val="00CE021A"/>
    <w:rsid w:val="00CE0311"/>
    <w:rsid w:val="00CE1D52"/>
    <w:rsid w:val="00CE292F"/>
    <w:rsid w:val="00CE2C1D"/>
    <w:rsid w:val="00CE3C94"/>
    <w:rsid w:val="00CE3D9A"/>
    <w:rsid w:val="00CE4350"/>
    <w:rsid w:val="00CE5626"/>
    <w:rsid w:val="00CE57A5"/>
    <w:rsid w:val="00CE755A"/>
    <w:rsid w:val="00CE7583"/>
    <w:rsid w:val="00CE7EC3"/>
    <w:rsid w:val="00CF054A"/>
    <w:rsid w:val="00CF0E51"/>
    <w:rsid w:val="00CF20F6"/>
    <w:rsid w:val="00CF312B"/>
    <w:rsid w:val="00CF3248"/>
    <w:rsid w:val="00CF51E9"/>
    <w:rsid w:val="00CF5F6F"/>
    <w:rsid w:val="00CF69C8"/>
    <w:rsid w:val="00CF7148"/>
    <w:rsid w:val="00CF7BCD"/>
    <w:rsid w:val="00CF7E4E"/>
    <w:rsid w:val="00D01155"/>
    <w:rsid w:val="00D04316"/>
    <w:rsid w:val="00D043F2"/>
    <w:rsid w:val="00D046A5"/>
    <w:rsid w:val="00D05126"/>
    <w:rsid w:val="00D05DD8"/>
    <w:rsid w:val="00D06023"/>
    <w:rsid w:val="00D06666"/>
    <w:rsid w:val="00D1056E"/>
    <w:rsid w:val="00D114B6"/>
    <w:rsid w:val="00D11A2B"/>
    <w:rsid w:val="00D11DC7"/>
    <w:rsid w:val="00D12A27"/>
    <w:rsid w:val="00D12E82"/>
    <w:rsid w:val="00D12F34"/>
    <w:rsid w:val="00D12F58"/>
    <w:rsid w:val="00D13B4E"/>
    <w:rsid w:val="00D146F0"/>
    <w:rsid w:val="00D14D2B"/>
    <w:rsid w:val="00D15080"/>
    <w:rsid w:val="00D15517"/>
    <w:rsid w:val="00D15CD9"/>
    <w:rsid w:val="00D16624"/>
    <w:rsid w:val="00D168D5"/>
    <w:rsid w:val="00D178D7"/>
    <w:rsid w:val="00D2084B"/>
    <w:rsid w:val="00D248DB"/>
    <w:rsid w:val="00D24CDD"/>
    <w:rsid w:val="00D25C27"/>
    <w:rsid w:val="00D26BF0"/>
    <w:rsid w:val="00D26F09"/>
    <w:rsid w:val="00D274DF"/>
    <w:rsid w:val="00D275C7"/>
    <w:rsid w:val="00D318C5"/>
    <w:rsid w:val="00D32729"/>
    <w:rsid w:val="00D334D6"/>
    <w:rsid w:val="00D340CC"/>
    <w:rsid w:val="00D36786"/>
    <w:rsid w:val="00D36B28"/>
    <w:rsid w:val="00D36E76"/>
    <w:rsid w:val="00D41101"/>
    <w:rsid w:val="00D417AD"/>
    <w:rsid w:val="00D425CA"/>
    <w:rsid w:val="00D42EA1"/>
    <w:rsid w:val="00D43A73"/>
    <w:rsid w:val="00D43FFB"/>
    <w:rsid w:val="00D443B9"/>
    <w:rsid w:val="00D44B8C"/>
    <w:rsid w:val="00D44DED"/>
    <w:rsid w:val="00D44EB6"/>
    <w:rsid w:val="00D44FFA"/>
    <w:rsid w:val="00D4576D"/>
    <w:rsid w:val="00D4582E"/>
    <w:rsid w:val="00D45B41"/>
    <w:rsid w:val="00D45FA1"/>
    <w:rsid w:val="00D46584"/>
    <w:rsid w:val="00D468F1"/>
    <w:rsid w:val="00D46FEA"/>
    <w:rsid w:val="00D47356"/>
    <w:rsid w:val="00D50130"/>
    <w:rsid w:val="00D50782"/>
    <w:rsid w:val="00D50CFD"/>
    <w:rsid w:val="00D51006"/>
    <w:rsid w:val="00D5132D"/>
    <w:rsid w:val="00D517C5"/>
    <w:rsid w:val="00D517E8"/>
    <w:rsid w:val="00D51B0B"/>
    <w:rsid w:val="00D52270"/>
    <w:rsid w:val="00D52A8C"/>
    <w:rsid w:val="00D539EB"/>
    <w:rsid w:val="00D57F24"/>
    <w:rsid w:val="00D60245"/>
    <w:rsid w:val="00D61E96"/>
    <w:rsid w:val="00D61F39"/>
    <w:rsid w:val="00D633C1"/>
    <w:rsid w:val="00D63624"/>
    <w:rsid w:val="00D63F81"/>
    <w:rsid w:val="00D64637"/>
    <w:rsid w:val="00D669A3"/>
    <w:rsid w:val="00D67F57"/>
    <w:rsid w:val="00D70F52"/>
    <w:rsid w:val="00D7134F"/>
    <w:rsid w:val="00D71BE7"/>
    <w:rsid w:val="00D71C4D"/>
    <w:rsid w:val="00D72571"/>
    <w:rsid w:val="00D72D22"/>
    <w:rsid w:val="00D73E00"/>
    <w:rsid w:val="00D758D8"/>
    <w:rsid w:val="00D774C0"/>
    <w:rsid w:val="00D80275"/>
    <w:rsid w:val="00D807C3"/>
    <w:rsid w:val="00D809E3"/>
    <w:rsid w:val="00D80ABD"/>
    <w:rsid w:val="00D81AA8"/>
    <w:rsid w:val="00D822FA"/>
    <w:rsid w:val="00D82441"/>
    <w:rsid w:val="00D83694"/>
    <w:rsid w:val="00D870AB"/>
    <w:rsid w:val="00D873D0"/>
    <w:rsid w:val="00D9002F"/>
    <w:rsid w:val="00D90831"/>
    <w:rsid w:val="00D917C5"/>
    <w:rsid w:val="00D92915"/>
    <w:rsid w:val="00D92BF3"/>
    <w:rsid w:val="00D939B7"/>
    <w:rsid w:val="00D9405A"/>
    <w:rsid w:val="00D962EA"/>
    <w:rsid w:val="00D96C64"/>
    <w:rsid w:val="00D96E58"/>
    <w:rsid w:val="00D97B2C"/>
    <w:rsid w:val="00D97E11"/>
    <w:rsid w:val="00DA0680"/>
    <w:rsid w:val="00DA22C7"/>
    <w:rsid w:val="00DA2663"/>
    <w:rsid w:val="00DA26DF"/>
    <w:rsid w:val="00DA2EFB"/>
    <w:rsid w:val="00DA3543"/>
    <w:rsid w:val="00DA378F"/>
    <w:rsid w:val="00DA3975"/>
    <w:rsid w:val="00DA4691"/>
    <w:rsid w:val="00DA546D"/>
    <w:rsid w:val="00DA671A"/>
    <w:rsid w:val="00DA6AE8"/>
    <w:rsid w:val="00DA6F0E"/>
    <w:rsid w:val="00DA77F4"/>
    <w:rsid w:val="00DA7975"/>
    <w:rsid w:val="00DA7EB8"/>
    <w:rsid w:val="00DB0373"/>
    <w:rsid w:val="00DB1872"/>
    <w:rsid w:val="00DB1AEF"/>
    <w:rsid w:val="00DB22F0"/>
    <w:rsid w:val="00DB371A"/>
    <w:rsid w:val="00DB543A"/>
    <w:rsid w:val="00DB586C"/>
    <w:rsid w:val="00DB6462"/>
    <w:rsid w:val="00DB7A8A"/>
    <w:rsid w:val="00DC1119"/>
    <w:rsid w:val="00DC1B5E"/>
    <w:rsid w:val="00DC24E6"/>
    <w:rsid w:val="00DC2821"/>
    <w:rsid w:val="00DC3A5D"/>
    <w:rsid w:val="00DC3CED"/>
    <w:rsid w:val="00DC5519"/>
    <w:rsid w:val="00DC551C"/>
    <w:rsid w:val="00DC57F2"/>
    <w:rsid w:val="00DC5B85"/>
    <w:rsid w:val="00DC7568"/>
    <w:rsid w:val="00DC7AF4"/>
    <w:rsid w:val="00DD0411"/>
    <w:rsid w:val="00DD0538"/>
    <w:rsid w:val="00DD0835"/>
    <w:rsid w:val="00DD17EC"/>
    <w:rsid w:val="00DD2219"/>
    <w:rsid w:val="00DD2419"/>
    <w:rsid w:val="00DD377F"/>
    <w:rsid w:val="00DD4ED5"/>
    <w:rsid w:val="00DD55C6"/>
    <w:rsid w:val="00DD6FC1"/>
    <w:rsid w:val="00DE003A"/>
    <w:rsid w:val="00DE09CE"/>
    <w:rsid w:val="00DE1F69"/>
    <w:rsid w:val="00DE1FA2"/>
    <w:rsid w:val="00DE2272"/>
    <w:rsid w:val="00DE25DF"/>
    <w:rsid w:val="00DE36C6"/>
    <w:rsid w:val="00DE4B95"/>
    <w:rsid w:val="00DE5103"/>
    <w:rsid w:val="00DE64D5"/>
    <w:rsid w:val="00DE7118"/>
    <w:rsid w:val="00DE7A78"/>
    <w:rsid w:val="00DF0394"/>
    <w:rsid w:val="00DF065C"/>
    <w:rsid w:val="00DF184C"/>
    <w:rsid w:val="00DF4D18"/>
    <w:rsid w:val="00DF557E"/>
    <w:rsid w:val="00DF5739"/>
    <w:rsid w:val="00DF578F"/>
    <w:rsid w:val="00DF5877"/>
    <w:rsid w:val="00DF5FA9"/>
    <w:rsid w:val="00E00F0F"/>
    <w:rsid w:val="00E00F5D"/>
    <w:rsid w:val="00E02AFF"/>
    <w:rsid w:val="00E02CC6"/>
    <w:rsid w:val="00E043EC"/>
    <w:rsid w:val="00E04785"/>
    <w:rsid w:val="00E04FE8"/>
    <w:rsid w:val="00E06753"/>
    <w:rsid w:val="00E0697F"/>
    <w:rsid w:val="00E06993"/>
    <w:rsid w:val="00E06BBD"/>
    <w:rsid w:val="00E0747C"/>
    <w:rsid w:val="00E10A7C"/>
    <w:rsid w:val="00E11EAB"/>
    <w:rsid w:val="00E123DD"/>
    <w:rsid w:val="00E12C97"/>
    <w:rsid w:val="00E131C9"/>
    <w:rsid w:val="00E132CE"/>
    <w:rsid w:val="00E13CA7"/>
    <w:rsid w:val="00E13FDF"/>
    <w:rsid w:val="00E1457C"/>
    <w:rsid w:val="00E149D9"/>
    <w:rsid w:val="00E15C40"/>
    <w:rsid w:val="00E166C0"/>
    <w:rsid w:val="00E16E48"/>
    <w:rsid w:val="00E211BB"/>
    <w:rsid w:val="00E21E83"/>
    <w:rsid w:val="00E231A0"/>
    <w:rsid w:val="00E2409D"/>
    <w:rsid w:val="00E24384"/>
    <w:rsid w:val="00E24602"/>
    <w:rsid w:val="00E27806"/>
    <w:rsid w:val="00E30381"/>
    <w:rsid w:val="00E30C27"/>
    <w:rsid w:val="00E30EBB"/>
    <w:rsid w:val="00E317C4"/>
    <w:rsid w:val="00E33062"/>
    <w:rsid w:val="00E33233"/>
    <w:rsid w:val="00E33E68"/>
    <w:rsid w:val="00E34276"/>
    <w:rsid w:val="00E34DEA"/>
    <w:rsid w:val="00E36524"/>
    <w:rsid w:val="00E36ACE"/>
    <w:rsid w:val="00E3756B"/>
    <w:rsid w:val="00E377DB"/>
    <w:rsid w:val="00E379B0"/>
    <w:rsid w:val="00E40463"/>
    <w:rsid w:val="00E41418"/>
    <w:rsid w:val="00E41E04"/>
    <w:rsid w:val="00E42B28"/>
    <w:rsid w:val="00E4396E"/>
    <w:rsid w:val="00E44353"/>
    <w:rsid w:val="00E47095"/>
    <w:rsid w:val="00E5043A"/>
    <w:rsid w:val="00E50D71"/>
    <w:rsid w:val="00E5144A"/>
    <w:rsid w:val="00E51A2B"/>
    <w:rsid w:val="00E5259C"/>
    <w:rsid w:val="00E52974"/>
    <w:rsid w:val="00E52B69"/>
    <w:rsid w:val="00E52F2F"/>
    <w:rsid w:val="00E5385E"/>
    <w:rsid w:val="00E53FA5"/>
    <w:rsid w:val="00E56BA0"/>
    <w:rsid w:val="00E56D28"/>
    <w:rsid w:val="00E61B70"/>
    <w:rsid w:val="00E61EE1"/>
    <w:rsid w:val="00E65458"/>
    <w:rsid w:val="00E669B4"/>
    <w:rsid w:val="00E6707D"/>
    <w:rsid w:val="00E67192"/>
    <w:rsid w:val="00E67403"/>
    <w:rsid w:val="00E67713"/>
    <w:rsid w:val="00E70666"/>
    <w:rsid w:val="00E71151"/>
    <w:rsid w:val="00E7198A"/>
    <w:rsid w:val="00E72266"/>
    <w:rsid w:val="00E73962"/>
    <w:rsid w:val="00E7407F"/>
    <w:rsid w:val="00E74584"/>
    <w:rsid w:val="00E746B8"/>
    <w:rsid w:val="00E7512D"/>
    <w:rsid w:val="00E75FE7"/>
    <w:rsid w:val="00E77859"/>
    <w:rsid w:val="00E77BA7"/>
    <w:rsid w:val="00E77F71"/>
    <w:rsid w:val="00E8004A"/>
    <w:rsid w:val="00E80ABD"/>
    <w:rsid w:val="00E8101B"/>
    <w:rsid w:val="00E81A64"/>
    <w:rsid w:val="00E8264A"/>
    <w:rsid w:val="00E82769"/>
    <w:rsid w:val="00E84275"/>
    <w:rsid w:val="00E84332"/>
    <w:rsid w:val="00E84484"/>
    <w:rsid w:val="00E846E1"/>
    <w:rsid w:val="00E8622B"/>
    <w:rsid w:val="00E86E24"/>
    <w:rsid w:val="00E873E5"/>
    <w:rsid w:val="00E875CE"/>
    <w:rsid w:val="00E87CC8"/>
    <w:rsid w:val="00E92E13"/>
    <w:rsid w:val="00E93BC1"/>
    <w:rsid w:val="00E93E56"/>
    <w:rsid w:val="00E93EA7"/>
    <w:rsid w:val="00E95637"/>
    <w:rsid w:val="00E96F95"/>
    <w:rsid w:val="00E97D9C"/>
    <w:rsid w:val="00EA0098"/>
    <w:rsid w:val="00EA17FB"/>
    <w:rsid w:val="00EA20C0"/>
    <w:rsid w:val="00EA3CAB"/>
    <w:rsid w:val="00EA4A8D"/>
    <w:rsid w:val="00EA4E47"/>
    <w:rsid w:val="00EA4EC1"/>
    <w:rsid w:val="00EA52D9"/>
    <w:rsid w:val="00EA534C"/>
    <w:rsid w:val="00EA56FE"/>
    <w:rsid w:val="00EA5845"/>
    <w:rsid w:val="00EA6790"/>
    <w:rsid w:val="00EA6C83"/>
    <w:rsid w:val="00EB0A92"/>
    <w:rsid w:val="00EB104A"/>
    <w:rsid w:val="00EB11C1"/>
    <w:rsid w:val="00EB15D3"/>
    <w:rsid w:val="00EB1AE1"/>
    <w:rsid w:val="00EB1FE5"/>
    <w:rsid w:val="00EB320C"/>
    <w:rsid w:val="00EB35ED"/>
    <w:rsid w:val="00EB51DB"/>
    <w:rsid w:val="00EB63AE"/>
    <w:rsid w:val="00EB7943"/>
    <w:rsid w:val="00EC20EF"/>
    <w:rsid w:val="00EC2EAA"/>
    <w:rsid w:val="00EC3581"/>
    <w:rsid w:val="00EC3592"/>
    <w:rsid w:val="00EC3C47"/>
    <w:rsid w:val="00EC503D"/>
    <w:rsid w:val="00EC59ED"/>
    <w:rsid w:val="00EC6EB1"/>
    <w:rsid w:val="00ED0460"/>
    <w:rsid w:val="00ED08E9"/>
    <w:rsid w:val="00ED0FCB"/>
    <w:rsid w:val="00ED1A87"/>
    <w:rsid w:val="00ED1EE8"/>
    <w:rsid w:val="00ED2214"/>
    <w:rsid w:val="00ED3A34"/>
    <w:rsid w:val="00ED4138"/>
    <w:rsid w:val="00ED46D9"/>
    <w:rsid w:val="00ED502F"/>
    <w:rsid w:val="00ED519E"/>
    <w:rsid w:val="00ED54C8"/>
    <w:rsid w:val="00ED59BB"/>
    <w:rsid w:val="00ED5CF8"/>
    <w:rsid w:val="00ED5D0E"/>
    <w:rsid w:val="00ED764B"/>
    <w:rsid w:val="00ED76E4"/>
    <w:rsid w:val="00EE0B35"/>
    <w:rsid w:val="00EE3284"/>
    <w:rsid w:val="00EE33F8"/>
    <w:rsid w:val="00EE4A9C"/>
    <w:rsid w:val="00EE4DF4"/>
    <w:rsid w:val="00EE4F41"/>
    <w:rsid w:val="00EE6119"/>
    <w:rsid w:val="00EE6295"/>
    <w:rsid w:val="00EE63A5"/>
    <w:rsid w:val="00EE6E2D"/>
    <w:rsid w:val="00EE6E98"/>
    <w:rsid w:val="00EE7011"/>
    <w:rsid w:val="00EF00C7"/>
    <w:rsid w:val="00EF111A"/>
    <w:rsid w:val="00EF186C"/>
    <w:rsid w:val="00EF18A1"/>
    <w:rsid w:val="00EF25BA"/>
    <w:rsid w:val="00EF3D49"/>
    <w:rsid w:val="00EF4E1C"/>
    <w:rsid w:val="00EF51AB"/>
    <w:rsid w:val="00EF55C7"/>
    <w:rsid w:val="00EF59F0"/>
    <w:rsid w:val="00EF618A"/>
    <w:rsid w:val="00EF6195"/>
    <w:rsid w:val="00F0002A"/>
    <w:rsid w:val="00F0077B"/>
    <w:rsid w:val="00F00CED"/>
    <w:rsid w:val="00F01071"/>
    <w:rsid w:val="00F01B95"/>
    <w:rsid w:val="00F01CCF"/>
    <w:rsid w:val="00F02774"/>
    <w:rsid w:val="00F04B7F"/>
    <w:rsid w:val="00F04D3B"/>
    <w:rsid w:val="00F04E6E"/>
    <w:rsid w:val="00F054D1"/>
    <w:rsid w:val="00F05C6C"/>
    <w:rsid w:val="00F061A8"/>
    <w:rsid w:val="00F11173"/>
    <w:rsid w:val="00F111A3"/>
    <w:rsid w:val="00F1147A"/>
    <w:rsid w:val="00F12278"/>
    <w:rsid w:val="00F12636"/>
    <w:rsid w:val="00F132AB"/>
    <w:rsid w:val="00F13A7D"/>
    <w:rsid w:val="00F13FD3"/>
    <w:rsid w:val="00F153A1"/>
    <w:rsid w:val="00F175E2"/>
    <w:rsid w:val="00F178A8"/>
    <w:rsid w:val="00F202E1"/>
    <w:rsid w:val="00F20471"/>
    <w:rsid w:val="00F215D1"/>
    <w:rsid w:val="00F217BB"/>
    <w:rsid w:val="00F22367"/>
    <w:rsid w:val="00F22D35"/>
    <w:rsid w:val="00F2416F"/>
    <w:rsid w:val="00F24611"/>
    <w:rsid w:val="00F250FF"/>
    <w:rsid w:val="00F25298"/>
    <w:rsid w:val="00F2628D"/>
    <w:rsid w:val="00F26447"/>
    <w:rsid w:val="00F278EA"/>
    <w:rsid w:val="00F30173"/>
    <w:rsid w:val="00F30B85"/>
    <w:rsid w:val="00F31873"/>
    <w:rsid w:val="00F3334C"/>
    <w:rsid w:val="00F339BD"/>
    <w:rsid w:val="00F340F7"/>
    <w:rsid w:val="00F34340"/>
    <w:rsid w:val="00F3452D"/>
    <w:rsid w:val="00F34A03"/>
    <w:rsid w:val="00F34B5A"/>
    <w:rsid w:val="00F34D72"/>
    <w:rsid w:val="00F36221"/>
    <w:rsid w:val="00F37633"/>
    <w:rsid w:val="00F4033C"/>
    <w:rsid w:val="00F40687"/>
    <w:rsid w:val="00F40E27"/>
    <w:rsid w:val="00F40F3A"/>
    <w:rsid w:val="00F41C46"/>
    <w:rsid w:val="00F437DE"/>
    <w:rsid w:val="00F44116"/>
    <w:rsid w:val="00F44525"/>
    <w:rsid w:val="00F451EE"/>
    <w:rsid w:val="00F459CA"/>
    <w:rsid w:val="00F476B8"/>
    <w:rsid w:val="00F51E2E"/>
    <w:rsid w:val="00F54537"/>
    <w:rsid w:val="00F5458B"/>
    <w:rsid w:val="00F55A80"/>
    <w:rsid w:val="00F56432"/>
    <w:rsid w:val="00F57CE8"/>
    <w:rsid w:val="00F61C83"/>
    <w:rsid w:val="00F61D43"/>
    <w:rsid w:val="00F6248D"/>
    <w:rsid w:val="00F63437"/>
    <w:rsid w:val="00F652D5"/>
    <w:rsid w:val="00F65603"/>
    <w:rsid w:val="00F65E9B"/>
    <w:rsid w:val="00F704FF"/>
    <w:rsid w:val="00F70739"/>
    <w:rsid w:val="00F70FBE"/>
    <w:rsid w:val="00F734DB"/>
    <w:rsid w:val="00F736BB"/>
    <w:rsid w:val="00F73E49"/>
    <w:rsid w:val="00F75BD7"/>
    <w:rsid w:val="00F75DD3"/>
    <w:rsid w:val="00F77125"/>
    <w:rsid w:val="00F774FD"/>
    <w:rsid w:val="00F77F8A"/>
    <w:rsid w:val="00F806D1"/>
    <w:rsid w:val="00F807A2"/>
    <w:rsid w:val="00F838AB"/>
    <w:rsid w:val="00F83DE7"/>
    <w:rsid w:val="00F84C28"/>
    <w:rsid w:val="00F850BD"/>
    <w:rsid w:val="00F856F9"/>
    <w:rsid w:val="00F867D6"/>
    <w:rsid w:val="00F872C5"/>
    <w:rsid w:val="00F87486"/>
    <w:rsid w:val="00F90064"/>
    <w:rsid w:val="00F91CE5"/>
    <w:rsid w:val="00F91E3A"/>
    <w:rsid w:val="00F9223D"/>
    <w:rsid w:val="00F96DC8"/>
    <w:rsid w:val="00F97C9F"/>
    <w:rsid w:val="00FA1C0E"/>
    <w:rsid w:val="00FA2279"/>
    <w:rsid w:val="00FA2694"/>
    <w:rsid w:val="00FA269C"/>
    <w:rsid w:val="00FA2756"/>
    <w:rsid w:val="00FA34A1"/>
    <w:rsid w:val="00FA3732"/>
    <w:rsid w:val="00FA375C"/>
    <w:rsid w:val="00FA3B2A"/>
    <w:rsid w:val="00FA400F"/>
    <w:rsid w:val="00FA4413"/>
    <w:rsid w:val="00FA4FA2"/>
    <w:rsid w:val="00FA58DD"/>
    <w:rsid w:val="00FA777A"/>
    <w:rsid w:val="00FB01B2"/>
    <w:rsid w:val="00FB03CD"/>
    <w:rsid w:val="00FB044A"/>
    <w:rsid w:val="00FB0755"/>
    <w:rsid w:val="00FB269B"/>
    <w:rsid w:val="00FB4062"/>
    <w:rsid w:val="00FB48EB"/>
    <w:rsid w:val="00FB5081"/>
    <w:rsid w:val="00FB60E6"/>
    <w:rsid w:val="00FB6810"/>
    <w:rsid w:val="00FB6D77"/>
    <w:rsid w:val="00FB71F3"/>
    <w:rsid w:val="00FB7D9A"/>
    <w:rsid w:val="00FB7EE7"/>
    <w:rsid w:val="00FB7F66"/>
    <w:rsid w:val="00FC0704"/>
    <w:rsid w:val="00FC0CCD"/>
    <w:rsid w:val="00FC0D4C"/>
    <w:rsid w:val="00FC0EC2"/>
    <w:rsid w:val="00FC110A"/>
    <w:rsid w:val="00FC1D00"/>
    <w:rsid w:val="00FC3EAC"/>
    <w:rsid w:val="00FC5015"/>
    <w:rsid w:val="00FC5412"/>
    <w:rsid w:val="00FC550B"/>
    <w:rsid w:val="00FC652C"/>
    <w:rsid w:val="00FC69CE"/>
    <w:rsid w:val="00FC78F3"/>
    <w:rsid w:val="00FC79CC"/>
    <w:rsid w:val="00FC7CE2"/>
    <w:rsid w:val="00FD1E1F"/>
    <w:rsid w:val="00FD242A"/>
    <w:rsid w:val="00FD2B78"/>
    <w:rsid w:val="00FD2F3E"/>
    <w:rsid w:val="00FD370B"/>
    <w:rsid w:val="00FD3ED4"/>
    <w:rsid w:val="00FD508A"/>
    <w:rsid w:val="00FD57EB"/>
    <w:rsid w:val="00FD5A3D"/>
    <w:rsid w:val="00FE06FB"/>
    <w:rsid w:val="00FE10EC"/>
    <w:rsid w:val="00FE149E"/>
    <w:rsid w:val="00FE165B"/>
    <w:rsid w:val="00FE1C1D"/>
    <w:rsid w:val="00FE2FBD"/>
    <w:rsid w:val="00FE31EA"/>
    <w:rsid w:val="00FE3447"/>
    <w:rsid w:val="00FE34E9"/>
    <w:rsid w:val="00FE391A"/>
    <w:rsid w:val="00FE443D"/>
    <w:rsid w:val="00FE4B99"/>
    <w:rsid w:val="00FE5E7B"/>
    <w:rsid w:val="00FE5F09"/>
    <w:rsid w:val="00FE6157"/>
    <w:rsid w:val="00FE6A4B"/>
    <w:rsid w:val="00FE6C57"/>
    <w:rsid w:val="00FE7F12"/>
    <w:rsid w:val="00FF1172"/>
    <w:rsid w:val="00FF24BA"/>
    <w:rsid w:val="00FF42D5"/>
    <w:rsid w:val="00FF45EB"/>
    <w:rsid w:val="00FF4CCA"/>
    <w:rsid w:val="00FF6F31"/>
    <w:rsid w:val="00FF733F"/>
    <w:rsid w:val="00FF7B85"/>
    <w:rsid w:val="01916F28"/>
    <w:rsid w:val="04C23DC4"/>
    <w:rsid w:val="0571314A"/>
    <w:rsid w:val="064078AC"/>
    <w:rsid w:val="0E503355"/>
    <w:rsid w:val="0F0E8022"/>
    <w:rsid w:val="1037FE6A"/>
    <w:rsid w:val="11C745DD"/>
    <w:rsid w:val="174BC769"/>
    <w:rsid w:val="1864AC15"/>
    <w:rsid w:val="198F844C"/>
    <w:rsid w:val="19C44B00"/>
    <w:rsid w:val="1A31C004"/>
    <w:rsid w:val="1D373CEC"/>
    <w:rsid w:val="1E0921B0"/>
    <w:rsid w:val="216861F2"/>
    <w:rsid w:val="28CA911C"/>
    <w:rsid w:val="2A208A9A"/>
    <w:rsid w:val="2E113E9C"/>
    <w:rsid w:val="2E98EF0F"/>
    <w:rsid w:val="303AF692"/>
    <w:rsid w:val="31518E1E"/>
    <w:rsid w:val="329BD978"/>
    <w:rsid w:val="339010D1"/>
    <w:rsid w:val="377D6386"/>
    <w:rsid w:val="39C3E79F"/>
    <w:rsid w:val="39DC602C"/>
    <w:rsid w:val="3ABD0A29"/>
    <w:rsid w:val="3C6C13CC"/>
    <w:rsid w:val="3DEDD2A1"/>
    <w:rsid w:val="3E10A2DD"/>
    <w:rsid w:val="40A8FB1C"/>
    <w:rsid w:val="41CCEF0E"/>
    <w:rsid w:val="420AD1DB"/>
    <w:rsid w:val="42FEEBE3"/>
    <w:rsid w:val="43DA2798"/>
    <w:rsid w:val="44613ABE"/>
    <w:rsid w:val="46444BA3"/>
    <w:rsid w:val="46C7E43B"/>
    <w:rsid w:val="46FE594A"/>
    <w:rsid w:val="49584D08"/>
    <w:rsid w:val="49EC3F92"/>
    <w:rsid w:val="4B6FCE7B"/>
    <w:rsid w:val="4BC3D17B"/>
    <w:rsid w:val="4F5C1BC4"/>
    <w:rsid w:val="52330B09"/>
    <w:rsid w:val="52CCFFEE"/>
    <w:rsid w:val="54E966F3"/>
    <w:rsid w:val="56778A1A"/>
    <w:rsid w:val="56891B9B"/>
    <w:rsid w:val="56FD56AE"/>
    <w:rsid w:val="572A9DD3"/>
    <w:rsid w:val="5BB2CCEC"/>
    <w:rsid w:val="5C693A89"/>
    <w:rsid w:val="5DF87896"/>
    <w:rsid w:val="5E1589A3"/>
    <w:rsid w:val="5FD8169A"/>
    <w:rsid w:val="60E0BA35"/>
    <w:rsid w:val="625BD7DB"/>
    <w:rsid w:val="636645C4"/>
    <w:rsid w:val="64E8EB23"/>
    <w:rsid w:val="6937B638"/>
    <w:rsid w:val="6D19EFD3"/>
    <w:rsid w:val="71D35C37"/>
    <w:rsid w:val="73FF86C6"/>
    <w:rsid w:val="74B918E0"/>
    <w:rsid w:val="750BC8C4"/>
    <w:rsid w:val="76A218F5"/>
    <w:rsid w:val="770D51BF"/>
    <w:rsid w:val="776B06AF"/>
    <w:rsid w:val="77FB38D0"/>
    <w:rsid w:val="7845FCFD"/>
    <w:rsid w:val="7B1B4EDE"/>
    <w:rsid w:val="7CCB5C25"/>
    <w:rsid w:val="7D4BC56E"/>
    <w:rsid w:val="7F0B3D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8D044"/>
  <w15:chartTrackingRefBased/>
  <w15:docId w15:val="{2388C0CC-5A0D-438F-8D25-1AB16D5F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97" w:unhideWhenUsed="1"/>
    <w:lsdException w:name="header" w:semiHidden="1" w:unhideWhenUsed="1"/>
    <w:lsdException w:name="footer" w:semiHidden="1" w:unhideWhenUsed="1"/>
    <w:lsdException w:name="index heading" w:semiHidden="1" w:uiPriority="97" w:unhideWhenUsed="1"/>
    <w:lsdException w:name="caption" w:uiPriority="10" w:qFormat="1"/>
    <w:lsdException w:name="table of figures" w:semiHidden="1" w:unhideWhenUsed="1"/>
    <w:lsdException w:name="envelope address" w:semiHidden="1" w:uiPriority="97" w:unhideWhenUsed="1"/>
    <w:lsdException w:name="envelope return" w:semiHidden="1" w:uiPriority="97" w:unhideWhenUsed="1"/>
    <w:lsdException w:name="footnote reference" w:semiHidden="1" w:unhideWhenUsed="1"/>
    <w:lsdException w:name="annotation reference" w:semiHidden="1" w:uiPriority="97" w:unhideWhenUsed="1"/>
    <w:lsdException w:name="line number" w:semiHidden="1" w:uiPriority="97" w:unhideWhenUsed="1"/>
    <w:lsdException w:name="page number" w:semiHidden="1" w:uiPriority="0"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3" w:unhideWhenUsed="1" w:qFormat="1"/>
    <w:lsdException w:name="List Number" w:uiPriority="4" w:qFormat="1"/>
    <w:lsdException w:name="List 2" w:semiHidden="1" w:uiPriority="4" w:unhideWhenUsed="1"/>
    <w:lsdException w:name="List 3" w:semiHidden="1" w:uiPriority="4" w:unhideWhenUsed="1"/>
    <w:lsdException w:name="List 4" w:uiPriority="4"/>
    <w:lsdException w:name="List 5" w:semiHidden="1"/>
    <w:lsdException w:name="List Bullet 2" w:semiHidden="1" w:uiPriority="2" w:unhideWhenUsed="1" w:qFormat="1"/>
    <w:lsdException w:name="List Bullet 3" w:semiHidden="1" w:uiPriority="2" w:unhideWhenUsed="1"/>
    <w:lsdException w:name="List Bullet 4" w:semiHidden="1" w:unhideWhenUsed="1"/>
    <w:lsdException w:name="List Bullet 5" w:semiHidden="1" w:uiPriority="2" w:unhideWhenUsed="1"/>
    <w:lsdException w:name="List Number 2" w:uiPriority="5" w:qFormat="1"/>
    <w:lsdException w:name="List Number 3" w:uiPriority="5" w:qFormat="1"/>
    <w:lsdException w:name="List Number 4" w:semiHidden="1" w:uiPriority="3" w:unhideWhenUsed="1"/>
    <w:lsdException w:name="List Number 5" w:semiHidden="1" w:uiPriority="3" w:unhideWhenUsed="1"/>
    <w:lsdException w:name="Title" w:uiPriority="1"/>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0"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0" w:qFormat="1"/>
    <w:lsdException w:name="Salutation" w:uiPriority="97"/>
    <w:lsdException w:name="Date"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0" w:unhideWhenUsed="1"/>
    <w:lsdException w:name="Body Text 3" w:semiHidden="1" w:uiPriority="0" w:unhideWhenUsed="1"/>
    <w:lsdException w:name="Body Text Indent 2" w:semiHidden="1" w:uiPriority="97" w:unhideWhenUsed="1"/>
    <w:lsdException w:name="Body Text Indent 3" w:semiHidden="1" w:uiPriority="0" w:unhideWhenUsed="1"/>
    <w:lsdException w:name="Block Text" w:semiHidden="1" w:uiPriority="97"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iPriority="98"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D5C"/>
    <w:pPr>
      <w:adjustRightInd w:val="0"/>
      <w:snapToGrid w:val="0"/>
      <w:spacing w:before="120" w:after="120" w:line="280" w:lineRule="atLeast"/>
    </w:pPr>
    <w:rPr>
      <w:rFonts w:eastAsia="SimSun"/>
      <w:lang w:val="en-AU" w:eastAsia="en-GB"/>
    </w:rPr>
  </w:style>
  <w:style w:type="paragraph" w:styleId="Heading1">
    <w:name w:val="heading 1"/>
    <w:basedOn w:val="Normal"/>
    <w:next w:val="Normal"/>
    <w:link w:val="Heading1Char"/>
    <w:uiPriority w:val="2"/>
    <w:qFormat/>
    <w:rsid w:val="00DD0835"/>
    <w:pPr>
      <w:keepNext/>
      <w:spacing w:line="320" w:lineRule="atLeast"/>
      <w:outlineLvl w:val="0"/>
    </w:pPr>
    <w:rPr>
      <w:rFonts w:asciiTheme="majorHAnsi" w:eastAsiaTheme="majorEastAsia" w:hAnsiTheme="majorHAnsi"/>
      <w:iCs/>
      <w:color w:val="889EA6" w:themeColor="accent4"/>
      <w:kern w:val="32"/>
      <w:sz w:val="32"/>
      <w:szCs w:val="32"/>
    </w:rPr>
  </w:style>
  <w:style w:type="paragraph" w:styleId="Heading2">
    <w:name w:val="heading 2"/>
    <w:basedOn w:val="Normal"/>
    <w:next w:val="Normal"/>
    <w:link w:val="Heading2Char"/>
    <w:uiPriority w:val="2"/>
    <w:qFormat/>
    <w:rsid w:val="00DD0835"/>
    <w:pPr>
      <w:keepNext/>
      <w:outlineLvl w:val="1"/>
    </w:pPr>
    <w:rPr>
      <w:rFonts w:asciiTheme="majorHAnsi" w:eastAsiaTheme="majorEastAsia" w:hAnsiTheme="majorHAnsi"/>
      <w:color w:val="D5C8B6" w:themeColor="accent3"/>
      <w:kern w:val="32"/>
      <w:sz w:val="28"/>
      <w:szCs w:val="28"/>
    </w:rPr>
  </w:style>
  <w:style w:type="paragraph" w:styleId="Heading3">
    <w:name w:val="heading 3"/>
    <w:basedOn w:val="Normal"/>
    <w:next w:val="Normal"/>
    <w:link w:val="Heading3Char"/>
    <w:uiPriority w:val="2"/>
    <w:qFormat/>
    <w:rsid w:val="00DD0835"/>
    <w:pPr>
      <w:spacing w:line="240" w:lineRule="atLeast"/>
      <w:outlineLvl w:val="2"/>
    </w:pPr>
    <w:rPr>
      <w:rFonts w:asciiTheme="majorHAnsi" w:hAnsiTheme="majorHAnsi" w:cstheme="minorHAnsi"/>
      <w:color w:val="B8D0EC" w:themeColor="accent5"/>
      <w:sz w:val="24"/>
      <w:szCs w:val="24"/>
    </w:rPr>
  </w:style>
  <w:style w:type="paragraph" w:styleId="Heading4">
    <w:name w:val="heading 4"/>
    <w:next w:val="Normal"/>
    <w:link w:val="Heading4Char"/>
    <w:uiPriority w:val="2"/>
    <w:qFormat/>
    <w:rsid w:val="00DD0835"/>
    <w:pPr>
      <w:adjustRightInd w:val="0"/>
      <w:snapToGrid w:val="0"/>
      <w:spacing w:before="120" w:after="120" w:line="240" w:lineRule="atLeast"/>
      <w:outlineLvl w:val="3"/>
    </w:pPr>
    <w:rPr>
      <w:rFonts w:asciiTheme="majorHAnsi" w:eastAsiaTheme="majorEastAsia" w:hAnsiTheme="majorHAnsi" w:cstheme="minorHAnsi"/>
      <w:bCs/>
      <w:color w:val="203136" w:themeColor="accent1"/>
      <w:lang w:val="en-AU"/>
    </w:rPr>
  </w:style>
  <w:style w:type="paragraph" w:styleId="Heading5">
    <w:name w:val="heading 5"/>
    <w:basedOn w:val="Normal"/>
    <w:next w:val="Normal"/>
    <w:link w:val="Heading5Char"/>
    <w:semiHidden/>
    <w:qFormat/>
    <w:rsid w:val="00DD0835"/>
    <w:pPr>
      <w:keepNext/>
      <w:numPr>
        <w:numId w:val="8"/>
      </w:numPr>
      <w:spacing w:after="660" w:line="480" w:lineRule="exact"/>
      <w:outlineLvl w:val="4"/>
    </w:pPr>
    <w:rPr>
      <w:rFonts w:eastAsiaTheme="majorEastAsia" w:cstheme="majorBidi"/>
      <w:b/>
      <w:bCs/>
      <w:color w:val="FFFFFF" w:themeColor="background2"/>
      <w:sz w:val="44"/>
      <w:lang w:eastAsia="x-none" w:bidi="he-IL"/>
    </w:rPr>
  </w:style>
  <w:style w:type="paragraph" w:styleId="Heading6">
    <w:name w:val="heading 6"/>
    <w:basedOn w:val="Normal"/>
    <w:next w:val="Normal"/>
    <w:link w:val="Heading6Char"/>
    <w:semiHidden/>
    <w:qFormat/>
    <w:rsid w:val="00DD0835"/>
    <w:pPr>
      <w:keepNext/>
      <w:jc w:val="center"/>
      <w:outlineLvl w:val="5"/>
    </w:pPr>
    <w:rPr>
      <w:rFonts w:eastAsiaTheme="majorEastAsia"/>
      <w:color w:val="000080"/>
      <w:sz w:val="52"/>
      <w:lang w:val="en-US"/>
    </w:rPr>
  </w:style>
  <w:style w:type="paragraph" w:styleId="Heading7">
    <w:name w:val="heading 7"/>
    <w:basedOn w:val="Normal"/>
    <w:next w:val="Normal"/>
    <w:link w:val="Heading7Char"/>
    <w:semiHidden/>
    <w:qFormat/>
    <w:rsid w:val="00DD0835"/>
    <w:pPr>
      <w:keepNext/>
      <w:jc w:val="center"/>
      <w:outlineLvl w:val="6"/>
    </w:pPr>
    <w:rPr>
      <w:rFonts w:eastAsiaTheme="majorEastAsia"/>
      <w:b/>
      <w:bCs/>
    </w:rPr>
  </w:style>
  <w:style w:type="paragraph" w:styleId="Heading8">
    <w:name w:val="heading 8"/>
    <w:basedOn w:val="Normal"/>
    <w:next w:val="Normal"/>
    <w:link w:val="Heading8Char"/>
    <w:uiPriority w:val="9"/>
    <w:semiHidden/>
    <w:qFormat/>
    <w:rsid w:val="00DD0835"/>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DD083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74559"/>
    <w:pPr>
      <w:tabs>
        <w:tab w:val="left" w:pos="9497"/>
      </w:tabs>
      <w:spacing w:line="240" w:lineRule="atLeast"/>
      <w:ind w:left="567" w:hanging="567"/>
    </w:pPr>
    <w:rPr>
      <w:color w:val="000000" w:themeColor="text1"/>
    </w:rPr>
  </w:style>
  <w:style w:type="paragraph" w:styleId="Header">
    <w:name w:val="header"/>
    <w:link w:val="HeaderChar"/>
    <w:uiPriority w:val="99"/>
    <w:rsid w:val="00DD0835"/>
    <w:pPr>
      <w:adjustRightInd w:val="0"/>
      <w:snapToGrid w:val="0"/>
    </w:pPr>
    <w:rPr>
      <w:rFonts w:eastAsiaTheme="minorEastAsia" w:cs="Arial"/>
      <w:sz w:val="16"/>
      <w:szCs w:val="16"/>
      <w:lang w:val="en-AU" w:eastAsia="x-none" w:bidi="he-IL"/>
    </w:rPr>
  </w:style>
  <w:style w:type="paragraph" w:styleId="Footer">
    <w:name w:val="footer"/>
    <w:link w:val="FooterChar"/>
    <w:uiPriority w:val="99"/>
    <w:rsid w:val="00DD0835"/>
    <w:pPr>
      <w:adjustRightInd w:val="0"/>
      <w:snapToGrid w:val="0"/>
    </w:pPr>
    <w:rPr>
      <w:rFonts w:eastAsiaTheme="minorEastAsia" w:cs="Arial"/>
      <w:color w:val="203136" w:themeColor="accent1"/>
      <w:sz w:val="16"/>
      <w:szCs w:val="14"/>
      <w:lang w:val="en-AU" w:eastAsia="x-none" w:bidi="he-IL"/>
    </w:rPr>
  </w:style>
  <w:style w:type="character" w:styleId="PageNumber">
    <w:name w:val="page number"/>
    <w:semiHidden/>
    <w:rsid w:val="00DD0835"/>
    <w:rPr>
      <w:rFonts w:asciiTheme="majorHAnsi" w:hAnsiTheme="majorHAnsi" w:cs="Arial"/>
      <w:color w:val="000000" w:themeColor="text2"/>
      <w:sz w:val="14"/>
    </w:rPr>
  </w:style>
  <w:style w:type="table" w:styleId="TableGrid">
    <w:name w:val="Table Grid"/>
    <w:basedOn w:val="TableNormal"/>
    <w:uiPriority w:val="59"/>
    <w:rsid w:val="00DD0835"/>
    <w:pPr>
      <w:spacing w:line="240" w:lineRule="atLeast"/>
    </w:pPr>
    <w:rPr>
      <w:rFonts w:eastAsia="MS Mincho"/>
      <w:color w:val="000000" w:themeColor="text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rsid w:val="00DD0835"/>
    <w:pPr>
      <w:numPr>
        <w:numId w:val="9"/>
      </w:numPr>
      <w:contextualSpacing/>
    </w:pPr>
  </w:style>
  <w:style w:type="paragraph" w:customStyle="1" w:styleId="TableText">
    <w:name w:val="Table Text"/>
    <w:basedOn w:val="Normal"/>
    <w:uiPriority w:val="5"/>
    <w:qFormat/>
    <w:rsid w:val="00DD0835"/>
    <w:pPr>
      <w:spacing w:before="0" w:after="0" w:line="240" w:lineRule="atLeast"/>
    </w:pPr>
    <w:rPr>
      <w:sz w:val="18"/>
    </w:rPr>
  </w:style>
  <w:style w:type="paragraph" w:styleId="ListNumber2">
    <w:name w:val="List Number 2"/>
    <w:basedOn w:val="Normal"/>
    <w:uiPriority w:val="5"/>
    <w:qFormat/>
    <w:rsid w:val="00EA534C"/>
    <w:pPr>
      <w:numPr>
        <w:ilvl w:val="1"/>
        <w:numId w:val="11"/>
      </w:numPr>
      <w:contextualSpacing/>
    </w:pPr>
  </w:style>
  <w:style w:type="paragraph" w:customStyle="1" w:styleId="Source">
    <w:name w:val="Source"/>
    <w:uiPriority w:val="99"/>
    <w:semiHidden/>
    <w:qFormat/>
    <w:rsid w:val="00DD0835"/>
    <w:pPr>
      <w:numPr>
        <w:numId w:val="13"/>
      </w:numPr>
      <w:tabs>
        <w:tab w:val="clear" w:pos="567"/>
        <w:tab w:val="num" w:pos="1209"/>
      </w:tabs>
    </w:pPr>
    <w:rPr>
      <w:rFonts w:eastAsia="Times New Roman" w:cstheme="minorHAnsi"/>
      <w:spacing w:val="-3"/>
      <w:sz w:val="16"/>
      <w:szCs w:val="14"/>
      <w:lang w:val="en-AU" w:eastAsia="en-AU"/>
    </w:rPr>
  </w:style>
  <w:style w:type="paragraph" w:styleId="BalloonText">
    <w:name w:val="Balloon Text"/>
    <w:basedOn w:val="Normal"/>
    <w:link w:val="BalloonTextChar"/>
    <w:uiPriority w:val="99"/>
    <w:semiHidden/>
    <w:unhideWhenUsed/>
    <w:rsid w:val="00DD0835"/>
    <w:rPr>
      <w:rFonts w:ascii="Tahoma" w:hAnsi="Tahoma" w:cs="Lucida Grande"/>
      <w:sz w:val="16"/>
      <w:szCs w:val="16"/>
      <w:lang w:val="x-none" w:bidi="he-IL"/>
    </w:rPr>
  </w:style>
  <w:style w:type="character" w:customStyle="1" w:styleId="BalloonTextChar">
    <w:name w:val="Balloon Text Char"/>
    <w:link w:val="BalloonText"/>
    <w:uiPriority w:val="99"/>
    <w:semiHidden/>
    <w:rsid w:val="00DD0835"/>
    <w:rPr>
      <w:rFonts w:ascii="Tahoma" w:hAnsi="Tahoma" w:cs="Lucida Grande"/>
      <w:sz w:val="16"/>
      <w:szCs w:val="16"/>
      <w:lang w:val="x-none" w:bidi="he-IL"/>
    </w:rPr>
  </w:style>
  <w:style w:type="paragraph" w:styleId="Bibliography">
    <w:name w:val="Bibliography"/>
    <w:basedOn w:val="Normal"/>
    <w:next w:val="Normal"/>
    <w:uiPriority w:val="37"/>
    <w:semiHidden/>
    <w:rsid w:val="00DD0835"/>
  </w:style>
  <w:style w:type="paragraph" w:styleId="BlockText">
    <w:name w:val="Block Text"/>
    <w:basedOn w:val="Normal"/>
    <w:uiPriority w:val="99"/>
    <w:semiHidden/>
    <w:unhideWhenUsed/>
    <w:rsid w:val="00DD0835"/>
    <w:pPr>
      <w:pBdr>
        <w:top w:val="single" w:sz="2" w:space="10" w:color="203136" w:themeColor="accent1" w:shadow="1"/>
        <w:left w:val="single" w:sz="2" w:space="10" w:color="203136" w:themeColor="accent1" w:shadow="1"/>
        <w:bottom w:val="single" w:sz="2" w:space="10" w:color="203136" w:themeColor="accent1" w:shadow="1"/>
        <w:right w:val="single" w:sz="2" w:space="10" w:color="203136" w:themeColor="accent1" w:shadow="1"/>
      </w:pBdr>
      <w:ind w:left="1152" w:right="1152"/>
    </w:pPr>
    <w:rPr>
      <w:rFonts w:cstheme="minorBidi"/>
      <w:i/>
      <w:iCs/>
      <w:color w:val="203136" w:themeColor="accent1"/>
    </w:rPr>
  </w:style>
  <w:style w:type="paragraph" w:styleId="BodyText3">
    <w:name w:val="Body Text 3"/>
    <w:basedOn w:val="Normal"/>
    <w:link w:val="BodyText3Char"/>
    <w:semiHidden/>
    <w:rsid w:val="00DD0835"/>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DD0835"/>
    <w:rPr>
      <w:lang w:val="en-AU"/>
    </w:rPr>
  </w:style>
  <w:style w:type="paragraph" w:styleId="BodyTextFirstIndent">
    <w:name w:val="Body Text First Indent"/>
    <w:basedOn w:val="Normal"/>
    <w:link w:val="BodyTextFirstIndentChar"/>
    <w:uiPriority w:val="99"/>
    <w:semiHidden/>
    <w:unhideWhenUsed/>
    <w:rsid w:val="00DD0835"/>
    <w:pPr>
      <w:ind w:firstLine="360"/>
    </w:pPr>
    <w:rPr>
      <w:szCs w:val="24"/>
      <w:lang w:eastAsia="x-none" w:bidi="he-IL"/>
    </w:rPr>
  </w:style>
  <w:style w:type="character" w:customStyle="1" w:styleId="BodyTextFirstIndentChar">
    <w:name w:val="Body Text First Indent Char"/>
    <w:basedOn w:val="DefaultParagraphFont"/>
    <w:link w:val="BodyTextFirstIndent"/>
    <w:uiPriority w:val="99"/>
    <w:semiHidden/>
    <w:rsid w:val="00DD0835"/>
    <w:rPr>
      <w:szCs w:val="24"/>
      <w:lang w:val="en-AU" w:eastAsia="x-none" w:bidi="he-IL"/>
    </w:rPr>
  </w:style>
  <w:style w:type="paragraph" w:styleId="BodyTextIndent">
    <w:name w:val="Body Text Indent"/>
    <w:basedOn w:val="Normal"/>
    <w:link w:val="BodyTextIndentChar"/>
    <w:uiPriority w:val="99"/>
    <w:semiHidden/>
    <w:unhideWhenUsed/>
    <w:rsid w:val="00DD0835"/>
    <w:pPr>
      <w:ind w:left="283"/>
    </w:pPr>
  </w:style>
  <w:style w:type="character" w:customStyle="1" w:styleId="BodyTextIndentChar">
    <w:name w:val="Body Text Indent Char"/>
    <w:basedOn w:val="DefaultParagraphFont"/>
    <w:link w:val="BodyTextIndent"/>
    <w:uiPriority w:val="99"/>
    <w:semiHidden/>
    <w:rsid w:val="00DD0835"/>
    <w:rPr>
      <w:lang w:val="en-AU"/>
    </w:rPr>
  </w:style>
  <w:style w:type="paragraph" w:styleId="BodyTextFirstIndent2">
    <w:name w:val="Body Text First Indent 2"/>
    <w:basedOn w:val="BodyTextIndent"/>
    <w:link w:val="BodyTextFirstIndent2Char"/>
    <w:uiPriority w:val="99"/>
    <w:semiHidden/>
    <w:unhideWhenUsed/>
    <w:rsid w:val="00DD0835"/>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DD0835"/>
    <w:rPr>
      <w:lang w:val="en-AU"/>
    </w:rPr>
  </w:style>
  <w:style w:type="paragraph" w:styleId="BodyTextIndent2">
    <w:name w:val="Body Text Indent 2"/>
    <w:basedOn w:val="Normal"/>
    <w:link w:val="BodyTextIndent2Char"/>
    <w:uiPriority w:val="99"/>
    <w:semiHidden/>
    <w:unhideWhenUsed/>
    <w:rsid w:val="00DD0835"/>
    <w:pPr>
      <w:spacing w:line="480" w:lineRule="auto"/>
      <w:ind w:left="283"/>
    </w:pPr>
  </w:style>
  <w:style w:type="character" w:customStyle="1" w:styleId="BodyTextIndent2Char">
    <w:name w:val="Body Text Indent 2 Char"/>
    <w:basedOn w:val="DefaultParagraphFont"/>
    <w:link w:val="BodyTextIndent2"/>
    <w:uiPriority w:val="99"/>
    <w:semiHidden/>
    <w:rsid w:val="00DD0835"/>
    <w:rPr>
      <w:lang w:val="en-AU"/>
    </w:rPr>
  </w:style>
  <w:style w:type="character" w:styleId="BookTitle">
    <w:name w:val="Book Title"/>
    <w:basedOn w:val="DefaultParagraphFont"/>
    <w:uiPriority w:val="33"/>
    <w:semiHidden/>
    <w:qFormat/>
    <w:rsid w:val="00DD0835"/>
    <w:rPr>
      <w:b/>
      <w:bCs/>
      <w:smallCaps/>
      <w:spacing w:val="5"/>
    </w:rPr>
  </w:style>
  <w:style w:type="paragraph" w:styleId="Closing">
    <w:name w:val="Closing"/>
    <w:basedOn w:val="Normal"/>
    <w:link w:val="ClosingChar"/>
    <w:uiPriority w:val="99"/>
    <w:semiHidden/>
    <w:unhideWhenUsed/>
    <w:rsid w:val="00DD0835"/>
    <w:pPr>
      <w:ind w:left="4252"/>
    </w:pPr>
  </w:style>
  <w:style w:type="character" w:customStyle="1" w:styleId="ClosingChar">
    <w:name w:val="Closing Char"/>
    <w:basedOn w:val="DefaultParagraphFont"/>
    <w:link w:val="Closing"/>
    <w:uiPriority w:val="99"/>
    <w:semiHidden/>
    <w:rsid w:val="00DD0835"/>
    <w:rPr>
      <w:lang w:val="en-AU"/>
    </w:rPr>
  </w:style>
  <w:style w:type="table" w:styleId="ColorfulGrid">
    <w:name w:val="Colorful Grid"/>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C9DADF" w:themeFill="accent1" w:themeFillTint="33"/>
      <w:tcMar>
        <w:top w:w="57" w:type="dxa"/>
        <w:left w:w="57" w:type="dxa"/>
        <w:bottom w:w="57" w:type="dxa"/>
        <w:right w:w="57" w:type="dxa"/>
      </w:tcMar>
    </w:tcPr>
    <w:tblStylePr w:type="firstRow">
      <w:rPr>
        <w:rFonts w:asciiTheme="majorHAnsi" w:hAnsiTheme="majorHAnsi"/>
        <w:b/>
        <w:bCs/>
      </w:rPr>
      <w:tblPr/>
      <w:tcPr>
        <w:shd w:val="clear" w:color="auto" w:fill="94B6C0" w:themeFill="accent1" w:themeFillTint="66"/>
      </w:tcPr>
    </w:tblStylePr>
    <w:tblStylePr w:type="lastRow">
      <w:rPr>
        <w:b/>
        <w:bCs/>
        <w:color w:val="000000" w:themeColor="text1"/>
      </w:rPr>
      <w:tblPr/>
      <w:tcPr>
        <w:shd w:val="clear" w:color="auto" w:fill="94B6C0" w:themeFill="accent1" w:themeFillTint="66"/>
      </w:tcPr>
    </w:tblStylePr>
    <w:tblStylePr w:type="firstCol">
      <w:rPr>
        <w:color w:val="FFFFFF" w:themeColor="background1"/>
      </w:rPr>
      <w:tblPr/>
      <w:tcPr>
        <w:shd w:val="clear" w:color="auto" w:fill="182428" w:themeFill="accent1" w:themeFillShade="BF"/>
      </w:tcPr>
    </w:tblStylePr>
    <w:tblStylePr w:type="lastCol">
      <w:rPr>
        <w:color w:val="FFFFFF" w:themeColor="background1"/>
      </w:rPr>
      <w:tblPr/>
      <w:tcPr>
        <w:shd w:val="clear" w:color="auto" w:fill="182428" w:themeFill="accent1" w:themeFillShade="BF"/>
      </w:tcPr>
    </w:tblStylePr>
    <w:tblStylePr w:type="band1Vert">
      <w:tblPr/>
      <w:tcPr>
        <w:shd w:val="clear" w:color="auto" w:fill="7AA4B0" w:themeFill="accent1" w:themeFillTint="7F"/>
      </w:tcPr>
    </w:tblStylePr>
    <w:tblStylePr w:type="band1Horz">
      <w:tblPr/>
      <w:tcPr>
        <w:shd w:val="clear" w:color="auto" w:fill="7AA4B0" w:themeFill="accent1" w:themeFillTint="7F"/>
      </w:tcPr>
    </w:tblStylePr>
  </w:style>
  <w:style w:type="table" w:styleId="ColorfulGrid-Accent2">
    <w:name w:val="Colorful Grid Accent 2"/>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8FEE2" w:themeFill="accent2" w:themeFillTint="33"/>
      <w:tcMar>
        <w:top w:w="57" w:type="dxa"/>
        <w:left w:w="57" w:type="dxa"/>
        <w:bottom w:w="57" w:type="dxa"/>
        <w:right w:w="57" w:type="dxa"/>
      </w:tcMar>
    </w:tcPr>
    <w:tblStylePr w:type="firstRow">
      <w:rPr>
        <w:rFonts w:asciiTheme="majorHAnsi" w:hAnsiTheme="majorHAnsi"/>
        <w:b/>
        <w:bCs/>
      </w:rPr>
      <w:tblPr/>
      <w:tcPr>
        <w:shd w:val="clear" w:color="auto" w:fill="F1FDC5" w:themeFill="accent2" w:themeFillTint="66"/>
      </w:tcPr>
    </w:tblStylePr>
    <w:tblStylePr w:type="lastRow">
      <w:rPr>
        <w:b/>
        <w:bCs/>
        <w:color w:val="000000" w:themeColor="text1"/>
      </w:rPr>
      <w:tblPr/>
      <w:tcPr>
        <w:shd w:val="clear" w:color="auto" w:fill="F1FDC5" w:themeFill="accent2" w:themeFillTint="66"/>
      </w:tcPr>
    </w:tblStylePr>
    <w:tblStylePr w:type="firstCol">
      <w:rPr>
        <w:color w:val="FFFFFF" w:themeColor="background1"/>
      </w:rPr>
      <w:tblPr/>
      <w:tcPr>
        <w:shd w:val="clear" w:color="auto" w:fill="C7FA16" w:themeFill="accent2" w:themeFillShade="BF"/>
      </w:tcPr>
    </w:tblStylePr>
    <w:tblStylePr w:type="lastCol">
      <w:rPr>
        <w:color w:val="FFFFFF" w:themeColor="background1"/>
      </w:rPr>
      <w:tblPr/>
      <w:tcPr>
        <w:shd w:val="clear" w:color="auto" w:fill="C7FA16" w:themeFill="accent2" w:themeFillShade="BF"/>
      </w:tcPr>
    </w:tblStylePr>
    <w:tblStylePr w:type="band1Vert">
      <w:tblPr/>
      <w:tcPr>
        <w:shd w:val="clear" w:color="auto" w:fill="EDFDB7" w:themeFill="accent2" w:themeFillTint="7F"/>
      </w:tcPr>
    </w:tblStylePr>
    <w:tblStylePr w:type="band1Horz">
      <w:tblPr/>
      <w:tcPr>
        <w:shd w:val="clear" w:color="auto" w:fill="EDFDB7" w:themeFill="accent2" w:themeFillTint="7F"/>
      </w:tcPr>
    </w:tblStylePr>
  </w:style>
  <w:style w:type="table" w:styleId="ColorfulGrid-Accent3">
    <w:name w:val="Colorful Grid Accent 3"/>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6F4F0" w:themeFill="accent3" w:themeFillTint="33"/>
      <w:tcMar>
        <w:top w:w="57" w:type="dxa"/>
        <w:left w:w="57" w:type="dxa"/>
        <w:bottom w:w="57" w:type="dxa"/>
        <w:right w:w="57" w:type="dxa"/>
      </w:tcMar>
    </w:tcPr>
    <w:tblStylePr w:type="firstRow">
      <w:rPr>
        <w:rFonts w:asciiTheme="majorHAnsi" w:hAnsiTheme="majorHAnsi"/>
        <w:b/>
        <w:bCs/>
      </w:rPr>
      <w:tblPr/>
      <w:tcPr>
        <w:shd w:val="clear" w:color="auto" w:fill="EEE9E1" w:themeFill="accent3" w:themeFillTint="66"/>
      </w:tcPr>
    </w:tblStylePr>
    <w:tblStylePr w:type="lastRow">
      <w:rPr>
        <w:b/>
        <w:bCs/>
        <w:color w:val="000000" w:themeColor="text1"/>
      </w:rPr>
      <w:tblPr/>
      <w:tcPr>
        <w:shd w:val="clear" w:color="auto" w:fill="EEE9E1" w:themeFill="accent3" w:themeFillTint="66"/>
      </w:tcPr>
    </w:tblStylePr>
    <w:tblStylePr w:type="firstCol">
      <w:rPr>
        <w:color w:val="FFFFFF" w:themeColor="background1"/>
      </w:rPr>
      <w:tblPr/>
      <w:tcPr>
        <w:shd w:val="clear" w:color="auto" w:fill="B09876" w:themeFill="accent3" w:themeFillShade="BF"/>
      </w:tcPr>
    </w:tblStylePr>
    <w:tblStylePr w:type="lastCol">
      <w:rPr>
        <w:color w:val="FFFFFF" w:themeColor="background1"/>
      </w:rPr>
      <w:tblPr/>
      <w:tcPr>
        <w:shd w:val="clear" w:color="auto" w:fill="B09876" w:themeFill="accent3" w:themeFillShade="BF"/>
      </w:tcPr>
    </w:tblStylePr>
    <w:tblStylePr w:type="band1Vert">
      <w:tblPr/>
      <w:tcPr>
        <w:shd w:val="clear" w:color="auto" w:fill="EAE3DA" w:themeFill="accent3" w:themeFillTint="7F"/>
      </w:tcPr>
    </w:tblStylePr>
    <w:tblStylePr w:type="band1Horz">
      <w:tblPr/>
      <w:tcPr>
        <w:shd w:val="clear" w:color="auto" w:fill="EAE3DA" w:themeFill="accent3" w:themeFillTint="7F"/>
      </w:tcPr>
    </w:tblStylePr>
  </w:style>
  <w:style w:type="table" w:styleId="ColorfulGrid-Accent4">
    <w:name w:val="Colorful Grid Accent 4"/>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E7EBED" w:themeFill="accent4" w:themeFillTint="33"/>
      <w:tcMar>
        <w:top w:w="57" w:type="dxa"/>
        <w:left w:w="57" w:type="dxa"/>
        <w:bottom w:w="57" w:type="dxa"/>
        <w:right w:w="57" w:type="dxa"/>
      </w:tcMar>
    </w:tcPr>
    <w:tblStylePr w:type="firstRow">
      <w:rPr>
        <w:rFonts w:asciiTheme="majorHAnsi" w:hAnsiTheme="majorHAnsi"/>
        <w:b/>
        <w:bCs/>
      </w:rPr>
      <w:tblPr/>
      <w:tcPr>
        <w:shd w:val="clear" w:color="auto" w:fill="CFD8DB" w:themeFill="accent4" w:themeFillTint="66"/>
      </w:tcPr>
    </w:tblStylePr>
    <w:tblStylePr w:type="lastRow">
      <w:rPr>
        <w:b/>
        <w:bCs/>
        <w:color w:val="000000" w:themeColor="text1"/>
      </w:rPr>
      <w:tblPr/>
      <w:tcPr>
        <w:shd w:val="clear" w:color="auto" w:fill="CFD8DB" w:themeFill="accent4" w:themeFillTint="66"/>
      </w:tcPr>
    </w:tblStylePr>
    <w:tblStylePr w:type="firstCol">
      <w:rPr>
        <w:color w:val="FFFFFF" w:themeColor="background1"/>
      </w:rPr>
      <w:tblPr/>
      <w:tcPr>
        <w:shd w:val="clear" w:color="auto" w:fill="607881" w:themeFill="accent4" w:themeFillShade="BF"/>
      </w:tcPr>
    </w:tblStylePr>
    <w:tblStylePr w:type="lastCol">
      <w:rPr>
        <w:color w:val="FFFFFF" w:themeColor="background1"/>
      </w:rPr>
      <w:tblPr/>
      <w:tcPr>
        <w:shd w:val="clear" w:color="auto" w:fill="607881" w:themeFill="accent4" w:themeFillShade="BF"/>
      </w:tcPr>
    </w:tblStylePr>
    <w:tblStylePr w:type="band1Vert">
      <w:tblPr/>
      <w:tcPr>
        <w:shd w:val="clear" w:color="auto" w:fill="C3CED2" w:themeFill="accent4" w:themeFillTint="7F"/>
      </w:tcPr>
    </w:tblStylePr>
    <w:tblStylePr w:type="band1Horz">
      <w:tblPr/>
      <w:tcPr>
        <w:shd w:val="clear" w:color="auto" w:fill="C3CED2" w:themeFill="accent4" w:themeFillTint="7F"/>
      </w:tcPr>
    </w:tblStylePr>
  </w:style>
  <w:style w:type="table" w:styleId="ColorfulGrid-Accent5">
    <w:name w:val="Colorful Grid Accent 5"/>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0F5FB" w:themeFill="accent5" w:themeFillTint="33"/>
      <w:tcMar>
        <w:top w:w="57" w:type="dxa"/>
        <w:left w:w="57" w:type="dxa"/>
        <w:bottom w:w="57" w:type="dxa"/>
        <w:right w:w="57" w:type="dxa"/>
      </w:tcMar>
    </w:tcPr>
    <w:tblStylePr w:type="firstRow">
      <w:rPr>
        <w:rFonts w:asciiTheme="majorHAnsi" w:hAnsiTheme="majorHAnsi"/>
        <w:b/>
        <w:bCs/>
      </w:rPr>
      <w:tblPr/>
      <w:tcPr>
        <w:shd w:val="clear" w:color="auto" w:fill="E2ECF7" w:themeFill="accent5" w:themeFillTint="66"/>
      </w:tcPr>
    </w:tblStylePr>
    <w:tblStylePr w:type="lastRow">
      <w:rPr>
        <w:b/>
        <w:bCs/>
        <w:color w:val="000000" w:themeColor="text1"/>
      </w:rPr>
      <w:tblPr/>
      <w:tcPr>
        <w:shd w:val="clear" w:color="auto" w:fill="E2ECF7" w:themeFill="accent5" w:themeFillTint="66"/>
      </w:tcPr>
    </w:tblStylePr>
    <w:tblStylePr w:type="firstCol">
      <w:rPr>
        <w:color w:val="FFFFFF" w:themeColor="background1"/>
      </w:rPr>
      <w:tblPr/>
      <w:tcPr>
        <w:shd w:val="clear" w:color="auto" w:fill="6498D5" w:themeFill="accent5" w:themeFillShade="BF"/>
      </w:tcPr>
    </w:tblStylePr>
    <w:tblStylePr w:type="lastCol">
      <w:rPr>
        <w:color w:val="FFFFFF" w:themeColor="background1"/>
      </w:rPr>
      <w:tblPr/>
      <w:tcPr>
        <w:shd w:val="clear" w:color="auto" w:fill="6498D5" w:themeFill="accent5" w:themeFillShade="BF"/>
      </w:tcPr>
    </w:tblStylePr>
    <w:tblStylePr w:type="band1Vert">
      <w:tblPr/>
      <w:tcPr>
        <w:shd w:val="clear" w:color="auto" w:fill="DBE7F5" w:themeFill="accent5" w:themeFillTint="7F"/>
      </w:tcPr>
    </w:tblStylePr>
    <w:tblStylePr w:type="band1Horz">
      <w:tblPr/>
      <w:tcPr>
        <w:shd w:val="clear" w:color="auto" w:fill="DBE7F5" w:themeFill="accent5" w:themeFillTint="7F"/>
      </w:tcPr>
    </w:tblStylePr>
  </w:style>
  <w:style w:type="table" w:styleId="ColorfulGrid-Accent6">
    <w:name w:val="Colorful Grid Accent 6"/>
    <w:basedOn w:val="TableNormal"/>
    <w:uiPriority w:val="73"/>
    <w:rsid w:val="00DD0835"/>
    <w:pPr>
      <w:spacing w:line="240" w:lineRule="atLeast"/>
    </w:pPr>
    <w:rPr>
      <w:rFonts w:eastAsia="MS Mincho"/>
      <w:color w:val="000000" w:themeColor="text1"/>
      <w:sz w:val="18"/>
      <w:szCs w:val="18"/>
    </w:rPr>
    <w:tblPr>
      <w:tblStyleRowBandSize w:val="1"/>
      <w:tblStyleColBandSize w:val="1"/>
      <w:tblBorders>
        <w:insideH w:val="single" w:sz="4" w:space="0" w:color="FFFFFF" w:themeColor="background1"/>
      </w:tblBorders>
    </w:tblPr>
    <w:tcPr>
      <w:shd w:val="clear" w:color="auto" w:fill="F3FBEA" w:themeFill="accent6" w:themeFillTint="33"/>
      <w:tcMar>
        <w:top w:w="57" w:type="dxa"/>
        <w:left w:w="57" w:type="dxa"/>
        <w:bottom w:w="57" w:type="dxa"/>
        <w:right w:w="57" w:type="dxa"/>
      </w:tcMar>
    </w:tcPr>
    <w:tblStylePr w:type="firstRow">
      <w:rPr>
        <w:rFonts w:asciiTheme="majorHAnsi" w:hAnsiTheme="majorHAnsi"/>
        <w:b/>
        <w:bCs/>
      </w:rPr>
      <w:tblPr/>
      <w:tcPr>
        <w:shd w:val="clear" w:color="auto" w:fill="E7F7D6" w:themeFill="accent6" w:themeFillTint="66"/>
      </w:tcPr>
    </w:tblStylePr>
    <w:tblStylePr w:type="lastRow">
      <w:rPr>
        <w:b/>
        <w:bCs/>
        <w:color w:val="000000" w:themeColor="text1"/>
      </w:rPr>
      <w:tblPr/>
      <w:tcPr>
        <w:shd w:val="clear" w:color="auto" w:fill="E7F7D6" w:themeFill="accent6" w:themeFillTint="66"/>
      </w:tcPr>
    </w:tblStylePr>
    <w:tblStylePr w:type="firstCol">
      <w:rPr>
        <w:color w:val="FFFFFF" w:themeColor="background1"/>
      </w:rPr>
      <w:tblPr/>
      <w:tcPr>
        <w:shd w:val="clear" w:color="auto" w:fill="93DC47" w:themeFill="accent6" w:themeFillShade="BF"/>
      </w:tcPr>
    </w:tblStylePr>
    <w:tblStylePr w:type="lastCol">
      <w:rPr>
        <w:color w:val="FFFFFF" w:themeColor="background1"/>
      </w:rPr>
      <w:tblPr/>
      <w:tcPr>
        <w:shd w:val="clear" w:color="auto" w:fill="93DC47" w:themeFill="accent6" w:themeFillShade="BF"/>
      </w:tcPr>
    </w:tblStylePr>
    <w:tblStylePr w:type="band1Vert">
      <w:tblPr/>
      <w:tcPr>
        <w:shd w:val="clear" w:color="auto" w:fill="E1F5CC" w:themeFill="accent6" w:themeFillTint="7F"/>
      </w:tcPr>
    </w:tblStylePr>
    <w:tblStylePr w:type="band1Horz">
      <w:tblPr/>
      <w:tcPr>
        <w:shd w:val="clear" w:color="auto" w:fill="E1F5CC" w:themeFill="accent6" w:themeFillTint="7F"/>
      </w:tcPr>
    </w:tblStylePr>
  </w:style>
  <w:style w:type="table" w:styleId="ColorfulList">
    <w:name w:val="Colorful List"/>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CBFA28" w:themeFill="accent2" w:themeFillShade="CC"/>
      </w:tcPr>
    </w:tblStylePr>
    <w:tblStylePr w:type="lastRow">
      <w:rPr>
        <w:b/>
        <w:bCs/>
        <w:color w:val="CBF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E4EDEF"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CBFA28" w:themeFill="accent2" w:themeFillShade="CC"/>
      </w:tcPr>
    </w:tblStylePr>
    <w:tblStylePr w:type="lastRow">
      <w:rPr>
        <w:b/>
        <w:bCs/>
        <w:color w:val="CBF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D1D8" w:themeFill="accent1" w:themeFillTint="3F"/>
      </w:tcPr>
    </w:tblStylePr>
    <w:tblStylePr w:type="band1Horz">
      <w:tblPr/>
      <w:tcPr>
        <w:shd w:val="clear" w:color="auto" w:fill="C9DADF" w:themeFill="accent1" w:themeFillTint="33"/>
      </w:tcPr>
    </w:tblStylePr>
  </w:style>
  <w:style w:type="table" w:styleId="ColorfulList-Accent2">
    <w:name w:val="Colorful List Accent 2"/>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BFEF0"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CBFA28" w:themeFill="accent2" w:themeFillShade="CC"/>
      </w:tcPr>
    </w:tblStylePr>
    <w:tblStylePr w:type="lastRow">
      <w:rPr>
        <w:b/>
        <w:bCs/>
        <w:color w:val="CBF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EDB" w:themeFill="accent2" w:themeFillTint="3F"/>
      </w:tcPr>
    </w:tblStylePr>
    <w:tblStylePr w:type="band1Horz">
      <w:tblPr/>
      <w:tcPr>
        <w:shd w:val="clear" w:color="auto" w:fill="F8FEE2" w:themeFill="accent2" w:themeFillTint="33"/>
      </w:tcPr>
    </w:tblStylePr>
  </w:style>
  <w:style w:type="table" w:styleId="ColorfulList-Accent3">
    <w:name w:val="Colorful List Accent 3"/>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BF9F7"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67808A" w:themeFill="accent4" w:themeFillShade="CC"/>
      </w:tcPr>
    </w:tblStylePr>
    <w:tblStylePr w:type="lastRow">
      <w:rPr>
        <w:b/>
        <w:bCs/>
        <w:color w:val="67808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1EC" w:themeFill="accent3" w:themeFillTint="3F"/>
      </w:tcPr>
    </w:tblStylePr>
    <w:tblStylePr w:type="band1Horz">
      <w:tblPr/>
      <w:tcPr>
        <w:shd w:val="clear" w:color="auto" w:fill="F6F4F0" w:themeFill="accent3" w:themeFillTint="33"/>
      </w:tcPr>
    </w:tblStylePr>
  </w:style>
  <w:style w:type="table" w:styleId="ColorfulList-Accent4">
    <w:name w:val="Colorful List Accent 4"/>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3F5F6"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8A283" w:themeFill="accent3" w:themeFillShade="CC"/>
      </w:tcPr>
    </w:tblStylePr>
    <w:tblStylePr w:type="lastRow">
      <w:rPr>
        <w:b/>
        <w:bCs/>
        <w:color w:val="B8A2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6E9" w:themeFill="accent4" w:themeFillTint="3F"/>
      </w:tcPr>
    </w:tblStylePr>
    <w:tblStylePr w:type="band1Horz">
      <w:tblPr/>
      <w:tcPr>
        <w:shd w:val="clear" w:color="auto" w:fill="E7EBED" w:themeFill="accent4" w:themeFillTint="33"/>
      </w:tcPr>
    </w:tblStylePr>
  </w:style>
  <w:style w:type="table" w:styleId="ColorfulList-Accent5">
    <w:name w:val="Colorful List Accent 5"/>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7FAFD"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9DDF58" w:themeFill="accent6" w:themeFillShade="CC"/>
      </w:tcPr>
    </w:tblStylePr>
    <w:tblStylePr w:type="lastRow">
      <w:rPr>
        <w:b/>
        <w:bCs/>
        <w:color w:val="9DD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3FA" w:themeFill="accent5" w:themeFillTint="3F"/>
      </w:tcPr>
    </w:tblStylePr>
    <w:tblStylePr w:type="band1Horz">
      <w:tblPr/>
      <w:tcPr>
        <w:shd w:val="clear" w:color="auto" w:fill="F0F5FB" w:themeFill="accent5" w:themeFillTint="33"/>
      </w:tcPr>
    </w:tblStylePr>
  </w:style>
  <w:style w:type="table" w:styleId="ColorfulList-Accent6">
    <w:name w:val="Colorful List Accent 6"/>
    <w:basedOn w:val="TableNormal"/>
    <w:uiPriority w:val="72"/>
    <w:rsid w:val="00DD0835"/>
    <w:pPr>
      <w:spacing w:line="240" w:lineRule="atLeast"/>
    </w:pPr>
    <w:rPr>
      <w:rFonts w:eastAsia="MS Mincho"/>
      <w:color w:val="000000" w:themeColor="text1"/>
      <w:sz w:val="18"/>
      <w:szCs w:val="18"/>
    </w:rPr>
    <w:tblPr>
      <w:tblStyleRowBandSize w:val="1"/>
      <w:tblStyleColBandSize w:val="1"/>
    </w:tblPr>
    <w:tcPr>
      <w:shd w:val="clear" w:color="auto" w:fill="F9FDF4"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75A3DA" w:themeFill="accent5" w:themeFillShade="CC"/>
      </w:tcPr>
    </w:tblStylePr>
    <w:tblStylePr w:type="lastRow">
      <w:rPr>
        <w:b/>
        <w:bCs/>
        <w:color w:val="75A3D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AE6" w:themeFill="accent6" w:themeFillTint="3F"/>
      </w:tcPr>
    </w:tblStylePr>
    <w:tblStylePr w:type="band1Horz">
      <w:tblPr/>
      <w:tcPr>
        <w:shd w:val="clear" w:color="auto" w:fill="F3FBEA" w:themeFill="accent6" w:themeFillTint="33"/>
      </w:tcPr>
    </w:tblStylePr>
  </w:style>
  <w:style w:type="table" w:styleId="ColorfulShading">
    <w:name w:val="Colorful Shading"/>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DFC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DFC70" w:themeColor="accent2"/>
        <w:left w:val="single" w:sz="4" w:space="0" w:color="203136" w:themeColor="accent1"/>
        <w:bottom w:val="single" w:sz="4" w:space="0" w:color="203136" w:themeColor="accent1"/>
        <w:right w:val="single" w:sz="4" w:space="0" w:color="203136" w:themeColor="accent1"/>
        <w:insideH w:val="single" w:sz="4" w:space="0" w:color="FFFFFF" w:themeColor="background1"/>
        <w:insideV w:val="single" w:sz="4" w:space="0" w:color="FFFFFF" w:themeColor="background1"/>
      </w:tblBorders>
    </w:tblPr>
    <w:tcPr>
      <w:shd w:val="clear" w:color="auto" w:fill="E4EDEF"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0" w:themeFill="accent1" w:themeFillShade="99"/>
      </w:tcPr>
    </w:tblStylePr>
    <w:tblStylePr w:type="firstCol">
      <w:rPr>
        <w:color w:val="FFFFFF" w:themeColor="background1"/>
      </w:rPr>
      <w:tblPr/>
      <w:tcPr>
        <w:tcBorders>
          <w:top w:val="nil"/>
          <w:left w:val="nil"/>
          <w:bottom w:val="nil"/>
          <w:right w:val="nil"/>
          <w:insideH w:val="single" w:sz="4" w:space="0" w:color="131D20" w:themeColor="accent1" w:themeShade="99"/>
          <w:insideV w:val="nil"/>
        </w:tcBorders>
        <w:shd w:val="clear" w:color="auto" w:fill="131D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0" w:themeFill="accent1" w:themeFillShade="99"/>
      </w:tcPr>
    </w:tblStylePr>
    <w:tblStylePr w:type="band1Vert">
      <w:tblPr/>
      <w:tcPr>
        <w:shd w:val="clear" w:color="auto" w:fill="94B6C0" w:themeFill="accent1" w:themeFillTint="66"/>
      </w:tcPr>
    </w:tblStylePr>
    <w:tblStylePr w:type="band1Horz">
      <w:tblPr/>
      <w:tcPr>
        <w:shd w:val="clear" w:color="auto" w:fill="7AA4B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DFC70" w:themeColor="accent2"/>
        <w:left w:val="single" w:sz="4" w:space="0" w:color="DDFC70" w:themeColor="accent2"/>
        <w:bottom w:val="single" w:sz="4" w:space="0" w:color="DDFC70" w:themeColor="accent2"/>
        <w:right w:val="single" w:sz="4" w:space="0" w:color="DDFC70" w:themeColor="accent2"/>
        <w:insideH w:val="single" w:sz="4" w:space="0" w:color="FFFFFF" w:themeColor="background1"/>
        <w:insideV w:val="single" w:sz="4" w:space="0" w:color="FFFFFF" w:themeColor="background1"/>
      </w:tblBorders>
    </w:tblPr>
    <w:tcPr>
      <w:shd w:val="clear" w:color="auto" w:fill="FBFEF0"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D504" w:themeFill="accent2" w:themeFillShade="99"/>
      </w:tcPr>
    </w:tblStylePr>
    <w:tblStylePr w:type="firstCol">
      <w:rPr>
        <w:color w:val="FFFFFF" w:themeColor="background1"/>
      </w:rPr>
      <w:tblPr/>
      <w:tcPr>
        <w:tcBorders>
          <w:top w:val="nil"/>
          <w:left w:val="nil"/>
          <w:bottom w:val="nil"/>
          <w:right w:val="nil"/>
          <w:insideH w:val="single" w:sz="4" w:space="0" w:color="A7D504" w:themeColor="accent2" w:themeShade="99"/>
          <w:insideV w:val="nil"/>
        </w:tcBorders>
        <w:shd w:val="clear" w:color="auto" w:fill="A7D50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7D504" w:themeFill="accent2" w:themeFillShade="99"/>
      </w:tcPr>
    </w:tblStylePr>
    <w:tblStylePr w:type="band1Vert">
      <w:tblPr/>
      <w:tcPr>
        <w:shd w:val="clear" w:color="auto" w:fill="F1FDC5" w:themeFill="accent2" w:themeFillTint="66"/>
      </w:tcPr>
    </w:tblStylePr>
    <w:tblStylePr w:type="band1Horz">
      <w:tblPr/>
      <w:tcPr>
        <w:shd w:val="clear" w:color="auto" w:fill="EDFD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889EA6" w:themeColor="accent4"/>
        <w:left w:val="single" w:sz="4" w:space="0" w:color="D5C8B6" w:themeColor="accent3"/>
        <w:bottom w:val="single" w:sz="4" w:space="0" w:color="D5C8B6" w:themeColor="accent3"/>
        <w:right w:val="single" w:sz="4" w:space="0" w:color="D5C8B6" w:themeColor="accent3"/>
        <w:insideH w:val="single" w:sz="4" w:space="0" w:color="FFFFFF" w:themeColor="background1"/>
        <w:insideV w:val="single" w:sz="4" w:space="0" w:color="FFFFFF" w:themeColor="background1"/>
      </w:tblBorders>
    </w:tblPr>
    <w:tcPr>
      <w:shd w:val="clear" w:color="auto" w:fill="FBF9F7"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89E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7B56" w:themeFill="accent3" w:themeFillShade="99"/>
      </w:tcPr>
    </w:tblStylePr>
    <w:tblStylePr w:type="firstCol">
      <w:rPr>
        <w:color w:val="FFFFFF" w:themeColor="background1"/>
      </w:rPr>
      <w:tblPr/>
      <w:tcPr>
        <w:tcBorders>
          <w:top w:val="nil"/>
          <w:left w:val="nil"/>
          <w:bottom w:val="nil"/>
          <w:right w:val="nil"/>
          <w:insideH w:val="single" w:sz="4" w:space="0" w:color="967B56" w:themeColor="accent3" w:themeShade="99"/>
          <w:insideV w:val="nil"/>
        </w:tcBorders>
        <w:shd w:val="clear" w:color="auto" w:fill="967B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67B56" w:themeFill="accent3" w:themeFillShade="99"/>
      </w:tcPr>
    </w:tblStylePr>
    <w:tblStylePr w:type="band1Vert">
      <w:tblPr/>
      <w:tcPr>
        <w:shd w:val="clear" w:color="auto" w:fill="EEE9E1" w:themeFill="accent3" w:themeFillTint="66"/>
      </w:tcPr>
    </w:tblStylePr>
    <w:tblStylePr w:type="band1Horz">
      <w:tblPr/>
      <w:tcPr>
        <w:shd w:val="clear" w:color="auto" w:fill="EAE3DA" w:themeFill="accent3" w:themeFillTint="7F"/>
      </w:tcPr>
    </w:tblStylePr>
  </w:style>
  <w:style w:type="table" w:styleId="ColorfulShading-Accent4">
    <w:name w:val="Colorful Shading Accent 4"/>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D5C8B6" w:themeColor="accent3"/>
        <w:left w:val="single" w:sz="4" w:space="0" w:color="889EA6" w:themeColor="accent4"/>
        <w:bottom w:val="single" w:sz="4" w:space="0" w:color="889EA6" w:themeColor="accent4"/>
        <w:right w:val="single" w:sz="4" w:space="0" w:color="889EA6" w:themeColor="accent4"/>
        <w:insideH w:val="single" w:sz="4" w:space="0" w:color="FFFFFF" w:themeColor="background1"/>
        <w:insideV w:val="single" w:sz="4" w:space="0" w:color="FFFFFF" w:themeColor="background1"/>
      </w:tblBorders>
    </w:tblPr>
    <w:tcPr>
      <w:shd w:val="clear" w:color="auto" w:fill="F3F5F6"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5C8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6067" w:themeFill="accent4" w:themeFillShade="99"/>
      </w:tcPr>
    </w:tblStylePr>
    <w:tblStylePr w:type="firstCol">
      <w:rPr>
        <w:color w:val="FFFFFF" w:themeColor="background1"/>
      </w:rPr>
      <w:tblPr/>
      <w:tcPr>
        <w:tcBorders>
          <w:top w:val="nil"/>
          <w:left w:val="nil"/>
          <w:bottom w:val="nil"/>
          <w:right w:val="nil"/>
          <w:insideH w:val="single" w:sz="4" w:space="0" w:color="4D6067" w:themeColor="accent4" w:themeShade="99"/>
          <w:insideV w:val="nil"/>
        </w:tcBorders>
        <w:shd w:val="clear" w:color="auto" w:fill="4D60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D6067" w:themeFill="accent4" w:themeFillShade="99"/>
      </w:tcPr>
    </w:tblStylePr>
    <w:tblStylePr w:type="band1Vert">
      <w:tblPr/>
      <w:tcPr>
        <w:shd w:val="clear" w:color="auto" w:fill="CFD8DB" w:themeFill="accent4" w:themeFillTint="66"/>
      </w:tcPr>
    </w:tblStylePr>
    <w:tblStylePr w:type="band1Horz">
      <w:tblPr/>
      <w:tcPr>
        <w:shd w:val="clear" w:color="auto" w:fill="C3CE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C4EC9A" w:themeColor="accent6"/>
        <w:left w:val="single" w:sz="4" w:space="0" w:color="B8D0EC" w:themeColor="accent5"/>
        <w:bottom w:val="single" w:sz="4" w:space="0" w:color="B8D0EC" w:themeColor="accent5"/>
        <w:right w:val="single" w:sz="4" w:space="0" w:color="B8D0EC" w:themeColor="accent5"/>
        <w:insideH w:val="single" w:sz="4" w:space="0" w:color="FFFFFF" w:themeColor="background1"/>
        <w:insideV w:val="single" w:sz="4" w:space="0" w:color="FFFFFF" w:themeColor="background1"/>
      </w:tblBorders>
    </w:tblPr>
    <w:tcPr>
      <w:shd w:val="clear" w:color="auto" w:fill="F7FAFD"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C4EC9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78C6" w:themeFill="accent5" w:themeFillShade="99"/>
      </w:tcPr>
    </w:tblStylePr>
    <w:tblStylePr w:type="firstCol">
      <w:rPr>
        <w:color w:val="FFFFFF" w:themeColor="background1"/>
      </w:rPr>
      <w:tblPr/>
      <w:tcPr>
        <w:tcBorders>
          <w:top w:val="nil"/>
          <w:left w:val="nil"/>
          <w:bottom w:val="nil"/>
          <w:right w:val="nil"/>
          <w:insideH w:val="single" w:sz="4" w:space="0" w:color="3578C6" w:themeColor="accent5" w:themeShade="99"/>
          <w:insideV w:val="nil"/>
        </w:tcBorders>
        <w:shd w:val="clear" w:color="auto" w:fill="3578C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78C6" w:themeFill="accent5" w:themeFillShade="99"/>
      </w:tcPr>
    </w:tblStylePr>
    <w:tblStylePr w:type="band1Vert">
      <w:tblPr/>
      <w:tcPr>
        <w:shd w:val="clear" w:color="auto" w:fill="E2ECF7" w:themeFill="accent5" w:themeFillTint="66"/>
      </w:tcPr>
    </w:tblStylePr>
    <w:tblStylePr w:type="band1Horz">
      <w:tblPr/>
      <w:tcPr>
        <w:shd w:val="clear" w:color="auto" w:fill="DBE7F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D0835"/>
    <w:pPr>
      <w:spacing w:line="240" w:lineRule="atLeast"/>
    </w:pPr>
    <w:rPr>
      <w:rFonts w:eastAsia="MS Mincho"/>
      <w:color w:val="000000" w:themeColor="text1"/>
      <w:sz w:val="18"/>
      <w:szCs w:val="18"/>
    </w:rPr>
    <w:tblPr>
      <w:tblStyleRowBandSize w:val="1"/>
      <w:tblStyleColBandSize w:val="1"/>
      <w:tblBorders>
        <w:top w:val="single" w:sz="24" w:space="0" w:color="B8D0EC" w:themeColor="accent5"/>
        <w:left w:val="single" w:sz="4" w:space="0" w:color="C4EC9A" w:themeColor="accent6"/>
        <w:bottom w:val="single" w:sz="4" w:space="0" w:color="C4EC9A" w:themeColor="accent6"/>
        <w:right w:val="single" w:sz="4" w:space="0" w:color="C4EC9A" w:themeColor="accent6"/>
        <w:insideH w:val="single" w:sz="4" w:space="0" w:color="FFFFFF" w:themeColor="background1"/>
        <w:insideV w:val="single" w:sz="4" w:space="0" w:color="FFFFFF" w:themeColor="background1"/>
      </w:tblBorders>
    </w:tblPr>
    <w:tcPr>
      <w:shd w:val="clear" w:color="auto" w:fill="F9FDF4"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B8D0E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C425" w:themeFill="accent6" w:themeFillShade="99"/>
      </w:tcPr>
    </w:tblStylePr>
    <w:tblStylePr w:type="firstCol">
      <w:rPr>
        <w:color w:val="FFFFFF" w:themeColor="background1"/>
      </w:rPr>
      <w:tblPr/>
      <w:tcPr>
        <w:tcBorders>
          <w:top w:val="nil"/>
          <w:left w:val="nil"/>
          <w:bottom w:val="nil"/>
          <w:right w:val="nil"/>
          <w:insideH w:val="single" w:sz="4" w:space="0" w:color="76C425" w:themeColor="accent6" w:themeShade="99"/>
          <w:insideV w:val="nil"/>
        </w:tcBorders>
        <w:shd w:val="clear" w:color="auto" w:fill="76C4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C425" w:themeFill="accent6" w:themeFillShade="99"/>
      </w:tcPr>
    </w:tblStylePr>
    <w:tblStylePr w:type="band1Vert">
      <w:tblPr/>
      <w:tcPr>
        <w:shd w:val="clear" w:color="auto" w:fill="E7F7D6" w:themeFill="accent6" w:themeFillTint="66"/>
      </w:tcPr>
    </w:tblStylePr>
    <w:tblStylePr w:type="band1Horz">
      <w:tblPr/>
      <w:tcPr>
        <w:shd w:val="clear" w:color="auto" w:fill="E1F5C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semiHidden/>
    <w:unhideWhenUsed/>
    <w:rsid w:val="00DD0835"/>
    <w:rPr>
      <w:sz w:val="16"/>
      <w:szCs w:val="16"/>
    </w:rPr>
  </w:style>
  <w:style w:type="paragraph" w:styleId="CommentText">
    <w:name w:val="annotation text"/>
    <w:basedOn w:val="Normal"/>
    <w:link w:val="CommentTextChar"/>
    <w:uiPriority w:val="99"/>
    <w:unhideWhenUsed/>
    <w:rsid w:val="00DD0835"/>
    <w:rPr>
      <w:lang w:val="x-none" w:bidi="he-IL"/>
    </w:rPr>
  </w:style>
  <w:style w:type="character" w:customStyle="1" w:styleId="CommentTextChar">
    <w:name w:val="Comment Text Char"/>
    <w:link w:val="CommentText"/>
    <w:uiPriority w:val="99"/>
    <w:rsid w:val="00DD0835"/>
    <w:rPr>
      <w:lang w:val="x-none" w:bidi="he-IL"/>
    </w:rPr>
  </w:style>
  <w:style w:type="paragraph" w:styleId="CommentSubject">
    <w:name w:val="annotation subject"/>
    <w:basedOn w:val="CommentText"/>
    <w:next w:val="CommentText"/>
    <w:link w:val="CommentSubjectChar"/>
    <w:uiPriority w:val="99"/>
    <w:semiHidden/>
    <w:unhideWhenUsed/>
    <w:rsid w:val="00DD0835"/>
    <w:rPr>
      <w:b/>
      <w:bCs/>
    </w:rPr>
  </w:style>
  <w:style w:type="character" w:customStyle="1" w:styleId="CommentSubjectChar">
    <w:name w:val="Comment Subject Char"/>
    <w:link w:val="CommentSubject"/>
    <w:uiPriority w:val="99"/>
    <w:semiHidden/>
    <w:rsid w:val="00DD0835"/>
    <w:rPr>
      <w:b/>
      <w:bCs/>
      <w:lang w:val="x-none" w:bidi="he-IL"/>
    </w:rPr>
  </w:style>
  <w:style w:type="table" w:styleId="DarkList">
    <w:name w:val="Dark List"/>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203136"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28" w:themeFill="accent1" w:themeFillShade="BF"/>
      </w:tcPr>
    </w:tblStylePr>
    <w:tblStylePr w:type="band1Vert">
      <w:tblPr/>
      <w:tcPr>
        <w:tcBorders>
          <w:top w:val="nil"/>
          <w:left w:val="nil"/>
          <w:bottom w:val="nil"/>
          <w:right w:val="nil"/>
          <w:insideH w:val="nil"/>
          <w:insideV w:val="nil"/>
        </w:tcBorders>
        <w:shd w:val="clear" w:color="auto" w:fill="182428" w:themeFill="accent1" w:themeFillShade="BF"/>
      </w:tcPr>
    </w:tblStylePr>
    <w:tblStylePr w:type="band1Horz">
      <w:tblPr/>
      <w:tcPr>
        <w:tcBorders>
          <w:top w:val="nil"/>
          <w:left w:val="nil"/>
          <w:bottom w:val="nil"/>
          <w:right w:val="nil"/>
          <w:insideH w:val="nil"/>
          <w:insideV w:val="nil"/>
        </w:tcBorders>
        <w:shd w:val="clear" w:color="auto" w:fill="182428" w:themeFill="accent1" w:themeFillShade="BF"/>
      </w:tcPr>
    </w:tblStylePr>
  </w:style>
  <w:style w:type="table" w:styleId="DarkList-Accent2">
    <w:name w:val="Dark List Accent 2"/>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DDFC70"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B1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7FA1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7FA16" w:themeFill="accent2" w:themeFillShade="BF"/>
      </w:tcPr>
    </w:tblStylePr>
    <w:tblStylePr w:type="band1Vert">
      <w:tblPr/>
      <w:tcPr>
        <w:tcBorders>
          <w:top w:val="nil"/>
          <w:left w:val="nil"/>
          <w:bottom w:val="nil"/>
          <w:right w:val="nil"/>
          <w:insideH w:val="nil"/>
          <w:insideV w:val="nil"/>
        </w:tcBorders>
        <w:shd w:val="clear" w:color="auto" w:fill="C7FA16" w:themeFill="accent2" w:themeFillShade="BF"/>
      </w:tcPr>
    </w:tblStylePr>
    <w:tblStylePr w:type="band1Horz">
      <w:tblPr/>
      <w:tcPr>
        <w:tcBorders>
          <w:top w:val="nil"/>
          <w:left w:val="nil"/>
          <w:bottom w:val="nil"/>
          <w:right w:val="nil"/>
          <w:insideH w:val="nil"/>
          <w:insideV w:val="nil"/>
        </w:tcBorders>
        <w:shd w:val="clear" w:color="auto" w:fill="C7FA16" w:themeFill="accent2" w:themeFillShade="BF"/>
      </w:tcPr>
    </w:tblStylePr>
  </w:style>
  <w:style w:type="table" w:styleId="DarkList-Accent3">
    <w:name w:val="Dark List Accent 3"/>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D5C8B6"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66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0987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09876" w:themeFill="accent3" w:themeFillShade="BF"/>
      </w:tcPr>
    </w:tblStylePr>
    <w:tblStylePr w:type="band1Vert">
      <w:tblPr/>
      <w:tcPr>
        <w:tcBorders>
          <w:top w:val="nil"/>
          <w:left w:val="nil"/>
          <w:bottom w:val="nil"/>
          <w:right w:val="nil"/>
          <w:insideH w:val="nil"/>
          <w:insideV w:val="nil"/>
        </w:tcBorders>
        <w:shd w:val="clear" w:color="auto" w:fill="B09876" w:themeFill="accent3" w:themeFillShade="BF"/>
      </w:tcPr>
    </w:tblStylePr>
    <w:tblStylePr w:type="band1Horz">
      <w:tblPr/>
      <w:tcPr>
        <w:tcBorders>
          <w:top w:val="nil"/>
          <w:left w:val="nil"/>
          <w:bottom w:val="nil"/>
          <w:right w:val="nil"/>
          <w:insideH w:val="nil"/>
          <w:insideV w:val="nil"/>
        </w:tcBorders>
        <w:shd w:val="clear" w:color="auto" w:fill="B09876" w:themeFill="accent3" w:themeFillShade="BF"/>
      </w:tcPr>
    </w:tblStylePr>
  </w:style>
  <w:style w:type="table" w:styleId="DarkList-Accent4">
    <w:name w:val="Dark List Accent 4"/>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889EA6"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50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0788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07881" w:themeFill="accent4" w:themeFillShade="BF"/>
      </w:tcPr>
    </w:tblStylePr>
    <w:tblStylePr w:type="band1Vert">
      <w:tblPr/>
      <w:tcPr>
        <w:tcBorders>
          <w:top w:val="nil"/>
          <w:left w:val="nil"/>
          <w:bottom w:val="nil"/>
          <w:right w:val="nil"/>
          <w:insideH w:val="nil"/>
          <w:insideV w:val="nil"/>
        </w:tcBorders>
        <w:shd w:val="clear" w:color="auto" w:fill="607881" w:themeFill="accent4" w:themeFillShade="BF"/>
      </w:tcPr>
    </w:tblStylePr>
    <w:tblStylePr w:type="band1Horz">
      <w:tblPr/>
      <w:tcPr>
        <w:tcBorders>
          <w:top w:val="nil"/>
          <w:left w:val="nil"/>
          <w:bottom w:val="nil"/>
          <w:right w:val="nil"/>
          <w:insideH w:val="nil"/>
          <w:insideV w:val="nil"/>
        </w:tcBorders>
        <w:shd w:val="clear" w:color="auto" w:fill="607881" w:themeFill="accent4" w:themeFillShade="BF"/>
      </w:tcPr>
    </w:tblStylePr>
  </w:style>
  <w:style w:type="table" w:styleId="DarkList-Accent5">
    <w:name w:val="Dark List Accent 5"/>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B8D0EC"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63A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498D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498D5" w:themeFill="accent5" w:themeFillShade="BF"/>
      </w:tcPr>
    </w:tblStylePr>
    <w:tblStylePr w:type="band1Vert">
      <w:tblPr/>
      <w:tcPr>
        <w:tcBorders>
          <w:top w:val="nil"/>
          <w:left w:val="nil"/>
          <w:bottom w:val="nil"/>
          <w:right w:val="nil"/>
          <w:insideH w:val="nil"/>
          <w:insideV w:val="nil"/>
        </w:tcBorders>
        <w:shd w:val="clear" w:color="auto" w:fill="6498D5" w:themeFill="accent5" w:themeFillShade="BF"/>
      </w:tcPr>
    </w:tblStylePr>
    <w:tblStylePr w:type="band1Horz">
      <w:tblPr/>
      <w:tcPr>
        <w:tcBorders>
          <w:top w:val="nil"/>
          <w:left w:val="nil"/>
          <w:bottom w:val="nil"/>
          <w:right w:val="nil"/>
          <w:insideH w:val="nil"/>
          <w:insideV w:val="nil"/>
        </w:tcBorders>
        <w:shd w:val="clear" w:color="auto" w:fill="6498D5" w:themeFill="accent5" w:themeFillShade="BF"/>
      </w:tcPr>
    </w:tblStylePr>
  </w:style>
  <w:style w:type="table" w:styleId="DarkList-Accent6">
    <w:name w:val="Dark List Accent 6"/>
    <w:basedOn w:val="TableNormal"/>
    <w:uiPriority w:val="70"/>
    <w:rsid w:val="00DD0835"/>
    <w:pPr>
      <w:spacing w:line="240" w:lineRule="atLeast"/>
    </w:pPr>
    <w:rPr>
      <w:rFonts w:eastAsia="MS Mincho"/>
      <w:color w:val="FFFFFF" w:themeColor="background1"/>
      <w:sz w:val="18"/>
      <w:szCs w:val="18"/>
    </w:rPr>
    <w:tblPr>
      <w:tblStyleRowBandSize w:val="1"/>
      <w:tblStyleColBandSize w:val="1"/>
    </w:tblPr>
    <w:tcPr>
      <w:shd w:val="clear" w:color="auto" w:fill="C4EC9A"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A3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3DC4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3DC47" w:themeFill="accent6" w:themeFillShade="BF"/>
      </w:tcPr>
    </w:tblStylePr>
    <w:tblStylePr w:type="band1Vert">
      <w:tblPr/>
      <w:tcPr>
        <w:tcBorders>
          <w:top w:val="nil"/>
          <w:left w:val="nil"/>
          <w:bottom w:val="nil"/>
          <w:right w:val="nil"/>
          <w:insideH w:val="nil"/>
          <w:insideV w:val="nil"/>
        </w:tcBorders>
        <w:shd w:val="clear" w:color="auto" w:fill="93DC47" w:themeFill="accent6" w:themeFillShade="BF"/>
      </w:tcPr>
    </w:tblStylePr>
    <w:tblStylePr w:type="band1Horz">
      <w:tblPr/>
      <w:tcPr>
        <w:tcBorders>
          <w:top w:val="nil"/>
          <w:left w:val="nil"/>
          <w:bottom w:val="nil"/>
          <w:right w:val="nil"/>
          <w:insideH w:val="nil"/>
          <w:insideV w:val="nil"/>
        </w:tcBorders>
        <w:shd w:val="clear" w:color="auto" w:fill="93DC47" w:themeFill="accent6" w:themeFillShade="BF"/>
      </w:tcPr>
    </w:tblStylePr>
  </w:style>
  <w:style w:type="paragraph" w:customStyle="1" w:styleId="TableHeading">
    <w:name w:val="Table Heading"/>
    <w:basedOn w:val="Normal"/>
    <w:next w:val="Normal"/>
    <w:uiPriority w:val="5"/>
    <w:qFormat/>
    <w:rsid w:val="00DD0835"/>
    <w:pPr>
      <w:spacing w:before="0" w:after="0"/>
    </w:pPr>
    <w:rPr>
      <w:rFonts w:asciiTheme="majorHAnsi" w:hAnsiTheme="majorHAnsi"/>
      <w:color w:val="DDFC70" w:themeColor="accent2"/>
      <w:sz w:val="18"/>
    </w:rPr>
  </w:style>
  <w:style w:type="paragraph" w:styleId="DocumentMap">
    <w:name w:val="Document Map"/>
    <w:basedOn w:val="Normal"/>
    <w:link w:val="DocumentMapChar"/>
    <w:uiPriority w:val="99"/>
    <w:semiHidden/>
    <w:unhideWhenUsed/>
    <w:rsid w:val="00DD0835"/>
    <w:rPr>
      <w:rFonts w:ascii="Tahoma" w:hAnsi="Tahoma" w:cs="Segoe UI"/>
      <w:sz w:val="16"/>
      <w:szCs w:val="16"/>
      <w:lang w:eastAsia="x-none" w:bidi="he-IL"/>
    </w:rPr>
  </w:style>
  <w:style w:type="character" w:customStyle="1" w:styleId="DocumentMapChar">
    <w:name w:val="Document Map Char"/>
    <w:link w:val="DocumentMap"/>
    <w:uiPriority w:val="99"/>
    <w:semiHidden/>
    <w:rsid w:val="00DD0835"/>
    <w:rPr>
      <w:rFonts w:ascii="Tahoma" w:hAnsi="Tahoma" w:cs="Segoe UI"/>
      <w:sz w:val="16"/>
      <w:szCs w:val="16"/>
      <w:lang w:val="en-AU" w:eastAsia="x-none" w:bidi="he-IL"/>
    </w:rPr>
  </w:style>
  <w:style w:type="paragraph" w:styleId="E-mailSignature">
    <w:name w:val="E-mail Signature"/>
    <w:basedOn w:val="Normal"/>
    <w:link w:val="E-mailSignatureChar"/>
    <w:uiPriority w:val="99"/>
    <w:semiHidden/>
    <w:unhideWhenUsed/>
    <w:rsid w:val="00DD0835"/>
  </w:style>
  <w:style w:type="character" w:customStyle="1" w:styleId="E-mailSignatureChar">
    <w:name w:val="E-mail Signature Char"/>
    <w:basedOn w:val="DefaultParagraphFont"/>
    <w:link w:val="E-mailSignature"/>
    <w:uiPriority w:val="99"/>
    <w:semiHidden/>
    <w:rsid w:val="00DD0835"/>
    <w:rPr>
      <w:lang w:val="en-AU"/>
    </w:rPr>
  </w:style>
  <w:style w:type="character" w:styleId="EndnoteReference">
    <w:name w:val="endnote reference"/>
    <w:basedOn w:val="DefaultParagraphFont"/>
    <w:uiPriority w:val="99"/>
    <w:semiHidden/>
    <w:unhideWhenUsed/>
    <w:rsid w:val="00DD0835"/>
    <w:rPr>
      <w:vertAlign w:val="superscript"/>
    </w:rPr>
  </w:style>
  <w:style w:type="paragraph" w:styleId="EndnoteText">
    <w:name w:val="endnote text"/>
    <w:basedOn w:val="Normal"/>
    <w:link w:val="EndnoteTextChar"/>
    <w:uiPriority w:val="99"/>
    <w:semiHidden/>
    <w:unhideWhenUsed/>
    <w:rsid w:val="00DD0835"/>
  </w:style>
  <w:style w:type="character" w:customStyle="1" w:styleId="EndnoteTextChar">
    <w:name w:val="Endnote Text Char"/>
    <w:basedOn w:val="DefaultParagraphFont"/>
    <w:link w:val="EndnoteText"/>
    <w:uiPriority w:val="99"/>
    <w:semiHidden/>
    <w:rsid w:val="00DD0835"/>
    <w:rPr>
      <w:lang w:val="en-AU"/>
    </w:rPr>
  </w:style>
  <w:style w:type="character" w:styleId="FollowedHyperlink">
    <w:name w:val="FollowedHyperlink"/>
    <w:uiPriority w:val="99"/>
    <w:rsid w:val="00DD0835"/>
    <w:rPr>
      <w:color w:val="auto"/>
      <w:u w:val="single"/>
    </w:rPr>
  </w:style>
  <w:style w:type="character" w:styleId="HTMLAcronym">
    <w:name w:val="HTML Acronym"/>
    <w:basedOn w:val="DefaultParagraphFont"/>
    <w:uiPriority w:val="99"/>
    <w:semiHidden/>
    <w:unhideWhenUsed/>
    <w:rsid w:val="00DD0835"/>
  </w:style>
  <w:style w:type="paragraph" w:styleId="HTMLAddress">
    <w:name w:val="HTML Address"/>
    <w:basedOn w:val="Normal"/>
    <w:link w:val="HTMLAddressChar"/>
    <w:uiPriority w:val="99"/>
    <w:semiHidden/>
    <w:unhideWhenUsed/>
    <w:rsid w:val="00DD0835"/>
    <w:rPr>
      <w:i/>
      <w:iCs/>
    </w:rPr>
  </w:style>
  <w:style w:type="character" w:customStyle="1" w:styleId="HTMLAddressChar">
    <w:name w:val="HTML Address Char"/>
    <w:basedOn w:val="DefaultParagraphFont"/>
    <w:link w:val="HTMLAddress"/>
    <w:uiPriority w:val="99"/>
    <w:semiHidden/>
    <w:rsid w:val="00DD0835"/>
    <w:rPr>
      <w:i/>
      <w:iCs/>
      <w:lang w:val="en-AU"/>
    </w:rPr>
  </w:style>
  <w:style w:type="character" w:styleId="HTMLCite">
    <w:name w:val="HTML Cite"/>
    <w:basedOn w:val="DefaultParagraphFont"/>
    <w:uiPriority w:val="99"/>
    <w:semiHidden/>
    <w:unhideWhenUsed/>
    <w:rsid w:val="00DD0835"/>
    <w:rPr>
      <w:i/>
      <w:iCs/>
    </w:rPr>
  </w:style>
  <w:style w:type="character" w:styleId="HTMLCode">
    <w:name w:val="HTML Code"/>
    <w:basedOn w:val="DefaultParagraphFont"/>
    <w:uiPriority w:val="99"/>
    <w:semiHidden/>
    <w:unhideWhenUsed/>
    <w:rsid w:val="00DD0835"/>
    <w:rPr>
      <w:rFonts w:ascii="Consolas" w:hAnsi="Consolas" w:cs="Consolas"/>
      <w:sz w:val="20"/>
      <w:szCs w:val="20"/>
    </w:rPr>
  </w:style>
  <w:style w:type="character" w:styleId="HTMLDefinition">
    <w:name w:val="HTML Definition"/>
    <w:basedOn w:val="DefaultParagraphFont"/>
    <w:uiPriority w:val="99"/>
    <w:semiHidden/>
    <w:unhideWhenUsed/>
    <w:rsid w:val="00DD0835"/>
    <w:rPr>
      <w:i/>
      <w:iCs/>
    </w:rPr>
  </w:style>
  <w:style w:type="character" w:styleId="HTMLKeyboard">
    <w:name w:val="HTML Keyboard"/>
    <w:basedOn w:val="DefaultParagraphFont"/>
    <w:uiPriority w:val="99"/>
    <w:semiHidden/>
    <w:unhideWhenUsed/>
    <w:rsid w:val="00DD0835"/>
    <w:rPr>
      <w:rFonts w:ascii="Consolas" w:hAnsi="Consolas" w:cs="Consolas"/>
      <w:sz w:val="20"/>
      <w:szCs w:val="20"/>
    </w:rPr>
  </w:style>
  <w:style w:type="paragraph" w:styleId="HTMLPreformatted">
    <w:name w:val="HTML Preformatted"/>
    <w:basedOn w:val="Normal"/>
    <w:link w:val="HTMLPreformattedChar"/>
    <w:uiPriority w:val="99"/>
    <w:semiHidden/>
    <w:unhideWhenUsed/>
    <w:rsid w:val="00DD0835"/>
    <w:rPr>
      <w:rFonts w:ascii="Consolas" w:hAnsi="Consolas" w:cs="Consolas"/>
    </w:rPr>
  </w:style>
  <w:style w:type="character" w:customStyle="1" w:styleId="HTMLPreformattedChar">
    <w:name w:val="HTML Preformatted Char"/>
    <w:basedOn w:val="DefaultParagraphFont"/>
    <w:link w:val="HTMLPreformatted"/>
    <w:uiPriority w:val="99"/>
    <w:semiHidden/>
    <w:rsid w:val="00DD0835"/>
    <w:rPr>
      <w:rFonts w:ascii="Consolas" w:hAnsi="Consolas" w:cs="Consolas"/>
      <w:lang w:val="en-AU"/>
    </w:rPr>
  </w:style>
  <w:style w:type="character" w:styleId="HTMLSample">
    <w:name w:val="HTML Sample"/>
    <w:basedOn w:val="DefaultParagraphFont"/>
    <w:uiPriority w:val="99"/>
    <w:semiHidden/>
    <w:unhideWhenUsed/>
    <w:rsid w:val="00DD0835"/>
    <w:rPr>
      <w:rFonts w:ascii="Consolas" w:hAnsi="Consolas" w:cs="Consolas"/>
      <w:sz w:val="24"/>
      <w:szCs w:val="24"/>
    </w:rPr>
  </w:style>
  <w:style w:type="character" w:styleId="HTMLTypewriter">
    <w:name w:val="HTML Typewriter"/>
    <w:basedOn w:val="DefaultParagraphFont"/>
    <w:uiPriority w:val="99"/>
    <w:semiHidden/>
    <w:unhideWhenUsed/>
    <w:rsid w:val="00DD0835"/>
    <w:rPr>
      <w:rFonts w:ascii="Consolas" w:hAnsi="Consolas" w:cs="Consolas"/>
      <w:sz w:val="20"/>
      <w:szCs w:val="20"/>
    </w:rPr>
  </w:style>
  <w:style w:type="character" w:styleId="HTMLVariable">
    <w:name w:val="HTML Variable"/>
    <w:basedOn w:val="DefaultParagraphFont"/>
    <w:uiPriority w:val="99"/>
    <w:semiHidden/>
    <w:unhideWhenUsed/>
    <w:rsid w:val="00DD0835"/>
    <w:rPr>
      <w:i/>
      <w:iCs/>
    </w:rPr>
  </w:style>
  <w:style w:type="character" w:styleId="Hyperlink">
    <w:name w:val="Hyperlink"/>
    <w:uiPriority w:val="99"/>
    <w:rsid w:val="00DD0835"/>
    <w:rPr>
      <w:color w:val="203136" w:themeColor="accent1"/>
      <w:u w:val="single"/>
    </w:rPr>
  </w:style>
  <w:style w:type="paragraph" w:styleId="Index1">
    <w:name w:val="index 1"/>
    <w:basedOn w:val="Normal"/>
    <w:next w:val="Normal"/>
    <w:autoRedefine/>
    <w:uiPriority w:val="99"/>
    <w:semiHidden/>
    <w:unhideWhenUsed/>
    <w:rsid w:val="00DD0835"/>
    <w:pPr>
      <w:ind w:left="220" w:hanging="220"/>
    </w:pPr>
  </w:style>
  <w:style w:type="paragraph" w:styleId="Index2">
    <w:name w:val="index 2"/>
    <w:basedOn w:val="Normal"/>
    <w:next w:val="Normal"/>
    <w:autoRedefine/>
    <w:uiPriority w:val="99"/>
    <w:semiHidden/>
    <w:unhideWhenUsed/>
    <w:rsid w:val="00DD0835"/>
    <w:pPr>
      <w:ind w:left="440" w:hanging="220"/>
    </w:pPr>
  </w:style>
  <w:style w:type="paragraph" w:styleId="Index3">
    <w:name w:val="index 3"/>
    <w:basedOn w:val="Normal"/>
    <w:next w:val="Normal"/>
    <w:autoRedefine/>
    <w:uiPriority w:val="99"/>
    <w:semiHidden/>
    <w:unhideWhenUsed/>
    <w:rsid w:val="00DD0835"/>
    <w:pPr>
      <w:ind w:left="660" w:hanging="220"/>
    </w:pPr>
  </w:style>
  <w:style w:type="paragraph" w:styleId="Index4">
    <w:name w:val="index 4"/>
    <w:basedOn w:val="Normal"/>
    <w:next w:val="Normal"/>
    <w:autoRedefine/>
    <w:uiPriority w:val="99"/>
    <w:semiHidden/>
    <w:unhideWhenUsed/>
    <w:rsid w:val="00DD0835"/>
    <w:pPr>
      <w:ind w:left="880" w:hanging="220"/>
    </w:pPr>
  </w:style>
  <w:style w:type="paragraph" w:styleId="Index5">
    <w:name w:val="index 5"/>
    <w:basedOn w:val="Normal"/>
    <w:next w:val="Normal"/>
    <w:autoRedefine/>
    <w:uiPriority w:val="99"/>
    <w:semiHidden/>
    <w:unhideWhenUsed/>
    <w:rsid w:val="00DD0835"/>
    <w:pPr>
      <w:ind w:left="1100" w:hanging="220"/>
    </w:pPr>
  </w:style>
  <w:style w:type="paragraph" w:styleId="Index6">
    <w:name w:val="index 6"/>
    <w:basedOn w:val="Normal"/>
    <w:next w:val="Normal"/>
    <w:autoRedefine/>
    <w:uiPriority w:val="99"/>
    <w:semiHidden/>
    <w:unhideWhenUsed/>
    <w:rsid w:val="00DD0835"/>
    <w:pPr>
      <w:ind w:left="1320" w:hanging="220"/>
    </w:pPr>
  </w:style>
  <w:style w:type="paragraph" w:styleId="Index7">
    <w:name w:val="index 7"/>
    <w:basedOn w:val="Normal"/>
    <w:next w:val="Normal"/>
    <w:autoRedefine/>
    <w:uiPriority w:val="99"/>
    <w:semiHidden/>
    <w:unhideWhenUsed/>
    <w:rsid w:val="00DD0835"/>
    <w:pPr>
      <w:ind w:left="1540" w:hanging="220"/>
    </w:pPr>
  </w:style>
  <w:style w:type="paragraph" w:styleId="Index8">
    <w:name w:val="index 8"/>
    <w:basedOn w:val="Normal"/>
    <w:next w:val="Normal"/>
    <w:autoRedefine/>
    <w:uiPriority w:val="99"/>
    <w:semiHidden/>
    <w:unhideWhenUsed/>
    <w:rsid w:val="00DD0835"/>
    <w:pPr>
      <w:ind w:left="1760" w:hanging="220"/>
    </w:pPr>
  </w:style>
  <w:style w:type="paragraph" w:styleId="Index9">
    <w:name w:val="index 9"/>
    <w:basedOn w:val="Normal"/>
    <w:next w:val="Normal"/>
    <w:autoRedefine/>
    <w:uiPriority w:val="99"/>
    <w:semiHidden/>
    <w:unhideWhenUsed/>
    <w:rsid w:val="00DD0835"/>
    <w:pPr>
      <w:ind w:left="1980" w:hanging="220"/>
    </w:pPr>
  </w:style>
  <w:style w:type="paragraph" w:styleId="IndexHeading">
    <w:name w:val="index heading"/>
    <w:basedOn w:val="Normal"/>
    <w:next w:val="Index1"/>
    <w:uiPriority w:val="99"/>
    <w:semiHidden/>
    <w:unhideWhenUsed/>
    <w:rsid w:val="00DD083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DD0835"/>
    <w:pPr>
      <w:pBdr>
        <w:bottom w:val="single" w:sz="4" w:space="4" w:color="203136" w:themeColor="accent1"/>
      </w:pBdr>
      <w:spacing w:before="200" w:after="280"/>
      <w:ind w:left="936" w:right="936"/>
    </w:pPr>
    <w:rPr>
      <w:b/>
      <w:bCs/>
      <w:i/>
      <w:iCs/>
      <w:color w:val="203136" w:themeColor="accent1"/>
    </w:rPr>
  </w:style>
  <w:style w:type="character" w:customStyle="1" w:styleId="IntenseQuoteChar">
    <w:name w:val="Intense Quote Char"/>
    <w:basedOn w:val="DefaultParagraphFont"/>
    <w:link w:val="IntenseQuote"/>
    <w:uiPriority w:val="30"/>
    <w:semiHidden/>
    <w:rsid w:val="00DD0835"/>
    <w:rPr>
      <w:b/>
      <w:bCs/>
      <w:i/>
      <w:iCs/>
      <w:color w:val="203136" w:themeColor="accent1"/>
      <w:lang w:val="en-AU"/>
    </w:rPr>
  </w:style>
  <w:style w:type="character" w:styleId="IntenseReference">
    <w:name w:val="Intense Reference"/>
    <w:basedOn w:val="DefaultParagraphFont"/>
    <w:uiPriority w:val="32"/>
    <w:semiHidden/>
    <w:qFormat/>
    <w:rsid w:val="00DD0835"/>
    <w:rPr>
      <w:b/>
      <w:bCs/>
      <w:smallCaps/>
      <w:color w:val="DDFC70" w:themeColor="accent2"/>
      <w:spacing w:val="5"/>
      <w:u w:val="single"/>
    </w:rPr>
  </w:style>
  <w:style w:type="table" w:styleId="LightGrid">
    <w:name w:val="Light Grid"/>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insideH w:val="single" w:sz="8" w:space="0" w:color="203136" w:themeColor="accent1"/>
        <w:insideV w:val="single" w:sz="8" w:space="0" w:color="203136"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203136" w:themeColor="accent1"/>
          <w:left w:val="single" w:sz="8" w:space="0" w:color="203136" w:themeColor="accent1"/>
          <w:bottom w:val="single" w:sz="18" w:space="0" w:color="203136" w:themeColor="accent1"/>
          <w:right w:val="single" w:sz="8" w:space="0" w:color="203136" w:themeColor="accent1"/>
          <w:insideH w:val="nil"/>
          <w:insideV w:val="single" w:sz="8" w:space="0" w:color="203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36" w:themeColor="accent1"/>
          <w:left w:val="single" w:sz="8" w:space="0" w:color="203136" w:themeColor="accent1"/>
          <w:bottom w:val="single" w:sz="8" w:space="0" w:color="203136" w:themeColor="accent1"/>
          <w:right w:val="single" w:sz="8" w:space="0" w:color="203136" w:themeColor="accent1"/>
          <w:insideH w:val="nil"/>
          <w:insideV w:val="single" w:sz="8" w:space="0" w:color="203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tcPr>
    </w:tblStylePr>
    <w:tblStylePr w:type="band1Vert">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shd w:val="clear" w:color="auto" w:fill="BDD1D8" w:themeFill="accent1" w:themeFillTint="3F"/>
      </w:tcPr>
    </w:tblStylePr>
    <w:tblStylePr w:type="band1Horz">
      <w:tblPr/>
      <w:tcPr>
        <w:tcBorders>
          <w:top w:val="single" w:sz="8" w:space="0" w:color="203136" w:themeColor="accent1"/>
          <w:left w:val="single" w:sz="8" w:space="0" w:color="203136" w:themeColor="accent1"/>
          <w:bottom w:val="single" w:sz="8" w:space="0" w:color="203136" w:themeColor="accent1"/>
          <w:right w:val="single" w:sz="8" w:space="0" w:color="203136" w:themeColor="accent1"/>
          <w:insideV w:val="single" w:sz="8" w:space="0" w:color="203136" w:themeColor="accent1"/>
        </w:tcBorders>
        <w:shd w:val="clear" w:color="auto" w:fill="BDD1D8" w:themeFill="accent1" w:themeFillTint="3F"/>
      </w:tcPr>
    </w:tblStylePr>
    <w:tblStylePr w:type="band2Horz">
      <w:tblPr/>
      <w:tcPr>
        <w:tcBorders>
          <w:top w:val="single" w:sz="8" w:space="0" w:color="203136" w:themeColor="accent1"/>
          <w:left w:val="single" w:sz="8" w:space="0" w:color="203136" w:themeColor="accent1"/>
          <w:bottom w:val="single" w:sz="8" w:space="0" w:color="203136" w:themeColor="accent1"/>
          <w:right w:val="single" w:sz="8" w:space="0" w:color="203136" w:themeColor="accent1"/>
          <w:insideV w:val="single" w:sz="8" w:space="0" w:color="203136" w:themeColor="accent1"/>
        </w:tcBorders>
      </w:tcPr>
    </w:tblStylePr>
  </w:style>
  <w:style w:type="table" w:styleId="LightGrid-Accent2">
    <w:name w:val="Light Grid Accent 2"/>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insideH w:val="single" w:sz="8" w:space="0" w:color="DDFC70" w:themeColor="accent2"/>
        <w:insideV w:val="single" w:sz="8" w:space="0" w:color="DDFC7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DFC70" w:themeColor="accent2"/>
          <w:left w:val="single" w:sz="8" w:space="0" w:color="DDFC70" w:themeColor="accent2"/>
          <w:bottom w:val="single" w:sz="18" w:space="0" w:color="DDFC70" w:themeColor="accent2"/>
          <w:right w:val="single" w:sz="8" w:space="0" w:color="DDFC70" w:themeColor="accent2"/>
          <w:insideH w:val="nil"/>
          <w:insideV w:val="single" w:sz="8" w:space="0" w:color="DDFC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FC70" w:themeColor="accent2"/>
          <w:left w:val="single" w:sz="8" w:space="0" w:color="DDFC70" w:themeColor="accent2"/>
          <w:bottom w:val="single" w:sz="8" w:space="0" w:color="DDFC70" w:themeColor="accent2"/>
          <w:right w:val="single" w:sz="8" w:space="0" w:color="DDFC70" w:themeColor="accent2"/>
          <w:insideH w:val="nil"/>
          <w:insideV w:val="single" w:sz="8" w:space="0" w:color="DDFC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tcPr>
    </w:tblStylePr>
    <w:tblStylePr w:type="band1Vert">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shd w:val="clear" w:color="auto" w:fill="F6FEDB" w:themeFill="accent2" w:themeFillTint="3F"/>
      </w:tcPr>
    </w:tblStylePr>
    <w:tblStylePr w:type="band1Horz">
      <w:tblPr/>
      <w:tcPr>
        <w:tcBorders>
          <w:top w:val="single" w:sz="8" w:space="0" w:color="DDFC70" w:themeColor="accent2"/>
          <w:left w:val="single" w:sz="8" w:space="0" w:color="DDFC70" w:themeColor="accent2"/>
          <w:bottom w:val="single" w:sz="8" w:space="0" w:color="DDFC70" w:themeColor="accent2"/>
          <w:right w:val="single" w:sz="8" w:space="0" w:color="DDFC70" w:themeColor="accent2"/>
          <w:insideV w:val="single" w:sz="8" w:space="0" w:color="DDFC70" w:themeColor="accent2"/>
        </w:tcBorders>
        <w:shd w:val="clear" w:color="auto" w:fill="F6FEDB" w:themeFill="accent2" w:themeFillTint="3F"/>
      </w:tcPr>
    </w:tblStylePr>
    <w:tblStylePr w:type="band2Horz">
      <w:tblPr/>
      <w:tcPr>
        <w:tcBorders>
          <w:top w:val="single" w:sz="8" w:space="0" w:color="DDFC70" w:themeColor="accent2"/>
          <w:left w:val="single" w:sz="8" w:space="0" w:color="DDFC70" w:themeColor="accent2"/>
          <w:bottom w:val="single" w:sz="8" w:space="0" w:color="DDFC70" w:themeColor="accent2"/>
          <w:right w:val="single" w:sz="8" w:space="0" w:color="DDFC70" w:themeColor="accent2"/>
          <w:insideV w:val="single" w:sz="8" w:space="0" w:color="DDFC70" w:themeColor="accent2"/>
        </w:tcBorders>
      </w:tcPr>
    </w:tblStylePr>
  </w:style>
  <w:style w:type="table" w:styleId="LightGrid-Accent3">
    <w:name w:val="Light Grid Accent 3"/>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insideH w:val="single" w:sz="8" w:space="0" w:color="D5C8B6" w:themeColor="accent3"/>
        <w:insideV w:val="single" w:sz="8" w:space="0" w:color="D5C8B6"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5C8B6" w:themeColor="accent3"/>
          <w:left w:val="single" w:sz="8" w:space="0" w:color="D5C8B6" w:themeColor="accent3"/>
          <w:bottom w:val="single" w:sz="18" w:space="0" w:color="D5C8B6" w:themeColor="accent3"/>
          <w:right w:val="single" w:sz="8" w:space="0" w:color="D5C8B6" w:themeColor="accent3"/>
          <w:insideH w:val="nil"/>
          <w:insideV w:val="single" w:sz="8" w:space="0" w:color="D5C8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C8B6" w:themeColor="accent3"/>
          <w:left w:val="single" w:sz="8" w:space="0" w:color="D5C8B6" w:themeColor="accent3"/>
          <w:bottom w:val="single" w:sz="8" w:space="0" w:color="D5C8B6" w:themeColor="accent3"/>
          <w:right w:val="single" w:sz="8" w:space="0" w:color="D5C8B6" w:themeColor="accent3"/>
          <w:insideH w:val="nil"/>
          <w:insideV w:val="single" w:sz="8" w:space="0" w:color="D5C8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tcPr>
    </w:tblStylePr>
    <w:tblStylePr w:type="band1Vert">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shd w:val="clear" w:color="auto" w:fill="F4F1EC" w:themeFill="accent3" w:themeFillTint="3F"/>
      </w:tcPr>
    </w:tblStylePr>
    <w:tblStylePr w:type="band1Horz">
      <w:tblPr/>
      <w:tcPr>
        <w:tcBorders>
          <w:top w:val="single" w:sz="8" w:space="0" w:color="D5C8B6" w:themeColor="accent3"/>
          <w:left w:val="single" w:sz="8" w:space="0" w:color="D5C8B6" w:themeColor="accent3"/>
          <w:bottom w:val="single" w:sz="8" w:space="0" w:color="D5C8B6" w:themeColor="accent3"/>
          <w:right w:val="single" w:sz="8" w:space="0" w:color="D5C8B6" w:themeColor="accent3"/>
          <w:insideV w:val="single" w:sz="8" w:space="0" w:color="D5C8B6" w:themeColor="accent3"/>
        </w:tcBorders>
        <w:shd w:val="clear" w:color="auto" w:fill="F4F1EC" w:themeFill="accent3" w:themeFillTint="3F"/>
      </w:tcPr>
    </w:tblStylePr>
    <w:tblStylePr w:type="band2Horz">
      <w:tblPr/>
      <w:tcPr>
        <w:tcBorders>
          <w:top w:val="single" w:sz="8" w:space="0" w:color="D5C8B6" w:themeColor="accent3"/>
          <w:left w:val="single" w:sz="8" w:space="0" w:color="D5C8B6" w:themeColor="accent3"/>
          <w:bottom w:val="single" w:sz="8" w:space="0" w:color="D5C8B6" w:themeColor="accent3"/>
          <w:right w:val="single" w:sz="8" w:space="0" w:color="D5C8B6" w:themeColor="accent3"/>
          <w:insideV w:val="single" w:sz="8" w:space="0" w:color="D5C8B6" w:themeColor="accent3"/>
        </w:tcBorders>
      </w:tcPr>
    </w:tblStylePr>
  </w:style>
  <w:style w:type="table" w:styleId="LightGrid-Accent4">
    <w:name w:val="Light Grid Accent 4"/>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insideH w:val="single" w:sz="8" w:space="0" w:color="889EA6" w:themeColor="accent4"/>
        <w:insideV w:val="single" w:sz="8" w:space="0" w:color="889EA6"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89EA6" w:themeColor="accent4"/>
          <w:left w:val="single" w:sz="8" w:space="0" w:color="889EA6" w:themeColor="accent4"/>
          <w:bottom w:val="single" w:sz="18" w:space="0" w:color="889EA6" w:themeColor="accent4"/>
          <w:right w:val="single" w:sz="8" w:space="0" w:color="889EA6" w:themeColor="accent4"/>
          <w:insideH w:val="nil"/>
          <w:insideV w:val="single" w:sz="8" w:space="0" w:color="889E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9EA6" w:themeColor="accent4"/>
          <w:left w:val="single" w:sz="8" w:space="0" w:color="889EA6" w:themeColor="accent4"/>
          <w:bottom w:val="single" w:sz="8" w:space="0" w:color="889EA6" w:themeColor="accent4"/>
          <w:right w:val="single" w:sz="8" w:space="0" w:color="889EA6" w:themeColor="accent4"/>
          <w:insideH w:val="nil"/>
          <w:insideV w:val="single" w:sz="8" w:space="0" w:color="889E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tcPr>
    </w:tblStylePr>
    <w:tblStylePr w:type="band1Vert">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shd w:val="clear" w:color="auto" w:fill="E1E6E9" w:themeFill="accent4" w:themeFillTint="3F"/>
      </w:tcPr>
    </w:tblStylePr>
    <w:tblStylePr w:type="band1Horz">
      <w:tblPr/>
      <w:tcPr>
        <w:tcBorders>
          <w:top w:val="single" w:sz="8" w:space="0" w:color="889EA6" w:themeColor="accent4"/>
          <w:left w:val="single" w:sz="8" w:space="0" w:color="889EA6" w:themeColor="accent4"/>
          <w:bottom w:val="single" w:sz="8" w:space="0" w:color="889EA6" w:themeColor="accent4"/>
          <w:right w:val="single" w:sz="8" w:space="0" w:color="889EA6" w:themeColor="accent4"/>
          <w:insideV w:val="single" w:sz="8" w:space="0" w:color="889EA6" w:themeColor="accent4"/>
        </w:tcBorders>
        <w:shd w:val="clear" w:color="auto" w:fill="E1E6E9" w:themeFill="accent4" w:themeFillTint="3F"/>
      </w:tcPr>
    </w:tblStylePr>
    <w:tblStylePr w:type="band2Horz">
      <w:tblPr/>
      <w:tcPr>
        <w:tcBorders>
          <w:top w:val="single" w:sz="8" w:space="0" w:color="889EA6" w:themeColor="accent4"/>
          <w:left w:val="single" w:sz="8" w:space="0" w:color="889EA6" w:themeColor="accent4"/>
          <w:bottom w:val="single" w:sz="8" w:space="0" w:color="889EA6" w:themeColor="accent4"/>
          <w:right w:val="single" w:sz="8" w:space="0" w:color="889EA6" w:themeColor="accent4"/>
          <w:insideV w:val="single" w:sz="8" w:space="0" w:color="889EA6" w:themeColor="accent4"/>
        </w:tcBorders>
      </w:tcPr>
    </w:tblStylePr>
  </w:style>
  <w:style w:type="table" w:styleId="LightGrid-Accent5">
    <w:name w:val="Light Grid Accent 5"/>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insideH w:val="single" w:sz="8" w:space="0" w:color="B8D0EC" w:themeColor="accent5"/>
        <w:insideV w:val="single" w:sz="8" w:space="0" w:color="B8D0EC"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B8D0EC" w:themeColor="accent5"/>
          <w:left w:val="single" w:sz="8" w:space="0" w:color="B8D0EC" w:themeColor="accent5"/>
          <w:bottom w:val="single" w:sz="18" w:space="0" w:color="B8D0EC" w:themeColor="accent5"/>
          <w:right w:val="single" w:sz="8" w:space="0" w:color="B8D0EC" w:themeColor="accent5"/>
          <w:insideH w:val="nil"/>
          <w:insideV w:val="single" w:sz="8" w:space="0" w:color="B8D0E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D0EC" w:themeColor="accent5"/>
          <w:left w:val="single" w:sz="8" w:space="0" w:color="B8D0EC" w:themeColor="accent5"/>
          <w:bottom w:val="single" w:sz="8" w:space="0" w:color="B8D0EC" w:themeColor="accent5"/>
          <w:right w:val="single" w:sz="8" w:space="0" w:color="B8D0EC" w:themeColor="accent5"/>
          <w:insideH w:val="nil"/>
          <w:insideV w:val="single" w:sz="8" w:space="0" w:color="B8D0E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tcPr>
    </w:tblStylePr>
    <w:tblStylePr w:type="band1Vert">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shd w:val="clear" w:color="auto" w:fill="EDF3FA" w:themeFill="accent5" w:themeFillTint="3F"/>
      </w:tcPr>
    </w:tblStylePr>
    <w:tblStylePr w:type="band1Horz">
      <w:tblPr/>
      <w:tcPr>
        <w:tcBorders>
          <w:top w:val="single" w:sz="8" w:space="0" w:color="B8D0EC" w:themeColor="accent5"/>
          <w:left w:val="single" w:sz="8" w:space="0" w:color="B8D0EC" w:themeColor="accent5"/>
          <w:bottom w:val="single" w:sz="8" w:space="0" w:color="B8D0EC" w:themeColor="accent5"/>
          <w:right w:val="single" w:sz="8" w:space="0" w:color="B8D0EC" w:themeColor="accent5"/>
          <w:insideV w:val="single" w:sz="8" w:space="0" w:color="B8D0EC" w:themeColor="accent5"/>
        </w:tcBorders>
        <w:shd w:val="clear" w:color="auto" w:fill="EDF3FA" w:themeFill="accent5" w:themeFillTint="3F"/>
      </w:tcPr>
    </w:tblStylePr>
    <w:tblStylePr w:type="band2Horz">
      <w:tblPr/>
      <w:tcPr>
        <w:tcBorders>
          <w:top w:val="single" w:sz="8" w:space="0" w:color="B8D0EC" w:themeColor="accent5"/>
          <w:left w:val="single" w:sz="8" w:space="0" w:color="B8D0EC" w:themeColor="accent5"/>
          <w:bottom w:val="single" w:sz="8" w:space="0" w:color="B8D0EC" w:themeColor="accent5"/>
          <w:right w:val="single" w:sz="8" w:space="0" w:color="B8D0EC" w:themeColor="accent5"/>
          <w:insideV w:val="single" w:sz="8" w:space="0" w:color="B8D0EC" w:themeColor="accent5"/>
        </w:tcBorders>
      </w:tcPr>
    </w:tblStylePr>
  </w:style>
  <w:style w:type="table" w:styleId="LightGrid-Accent6">
    <w:name w:val="Light Grid Accent 6"/>
    <w:basedOn w:val="TableNormal"/>
    <w:uiPriority w:val="62"/>
    <w:rsid w:val="00DD0835"/>
    <w:pPr>
      <w:spacing w:line="240" w:lineRule="atLeast"/>
    </w:pPr>
    <w:rPr>
      <w:rFonts w:eastAsia="MS Mincho"/>
      <w:color w:val="000000" w:themeColor="text2"/>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insideH w:val="single" w:sz="8" w:space="0" w:color="C4EC9A" w:themeColor="accent6"/>
        <w:insideV w:val="single" w:sz="8" w:space="0" w:color="C4EC9A"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C4EC9A" w:themeColor="accent6"/>
          <w:left w:val="single" w:sz="8" w:space="0" w:color="C4EC9A" w:themeColor="accent6"/>
          <w:bottom w:val="single" w:sz="18" w:space="0" w:color="C4EC9A" w:themeColor="accent6"/>
          <w:right w:val="single" w:sz="8" w:space="0" w:color="C4EC9A" w:themeColor="accent6"/>
          <w:insideH w:val="nil"/>
          <w:insideV w:val="single" w:sz="8" w:space="0" w:color="C4EC9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C9A" w:themeColor="accent6"/>
          <w:left w:val="single" w:sz="8" w:space="0" w:color="C4EC9A" w:themeColor="accent6"/>
          <w:bottom w:val="single" w:sz="8" w:space="0" w:color="C4EC9A" w:themeColor="accent6"/>
          <w:right w:val="single" w:sz="8" w:space="0" w:color="C4EC9A" w:themeColor="accent6"/>
          <w:insideH w:val="nil"/>
          <w:insideV w:val="single" w:sz="8" w:space="0" w:color="C4EC9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tcPr>
    </w:tblStylePr>
    <w:tblStylePr w:type="band1Vert">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shd w:val="clear" w:color="auto" w:fill="F0FAE6" w:themeFill="accent6" w:themeFillTint="3F"/>
      </w:tcPr>
    </w:tblStylePr>
    <w:tblStylePr w:type="band1Horz">
      <w:tblPr/>
      <w:tcPr>
        <w:tcBorders>
          <w:top w:val="single" w:sz="8" w:space="0" w:color="C4EC9A" w:themeColor="accent6"/>
          <w:left w:val="single" w:sz="8" w:space="0" w:color="C4EC9A" w:themeColor="accent6"/>
          <w:bottom w:val="single" w:sz="8" w:space="0" w:color="C4EC9A" w:themeColor="accent6"/>
          <w:right w:val="single" w:sz="8" w:space="0" w:color="C4EC9A" w:themeColor="accent6"/>
          <w:insideV w:val="single" w:sz="8" w:space="0" w:color="C4EC9A" w:themeColor="accent6"/>
        </w:tcBorders>
        <w:shd w:val="clear" w:color="auto" w:fill="F0FAE6" w:themeFill="accent6" w:themeFillTint="3F"/>
      </w:tcPr>
    </w:tblStylePr>
    <w:tblStylePr w:type="band2Horz">
      <w:tblPr/>
      <w:tcPr>
        <w:tcBorders>
          <w:top w:val="single" w:sz="8" w:space="0" w:color="C4EC9A" w:themeColor="accent6"/>
          <w:left w:val="single" w:sz="8" w:space="0" w:color="C4EC9A" w:themeColor="accent6"/>
          <w:bottom w:val="single" w:sz="8" w:space="0" w:color="C4EC9A" w:themeColor="accent6"/>
          <w:right w:val="single" w:sz="8" w:space="0" w:color="C4EC9A" w:themeColor="accent6"/>
          <w:insideV w:val="single" w:sz="8" w:space="0" w:color="C4EC9A" w:themeColor="accent6"/>
        </w:tcBorders>
      </w:tcPr>
    </w:tblStylePr>
  </w:style>
  <w:style w:type="table" w:styleId="LightList">
    <w:name w:val="Light List"/>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203136" w:themeFill="accent1"/>
      </w:tcPr>
    </w:tblStylePr>
    <w:tblStylePr w:type="lastRow">
      <w:pPr>
        <w:spacing w:before="0" w:after="0" w:line="240" w:lineRule="auto"/>
      </w:pPr>
      <w:rPr>
        <w:b/>
        <w:bCs/>
      </w:rPr>
      <w:tblPr/>
      <w:tcPr>
        <w:tcBorders>
          <w:top w:val="double" w:sz="6" w:space="0" w:color="203136" w:themeColor="accent1"/>
          <w:left w:val="single" w:sz="8" w:space="0" w:color="203136" w:themeColor="accent1"/>
          <w:bottom w:val="single" w:sz="8" w:space="0" w:color="203136" w:themeColor="accent1"/>
          <w:right w:val="single" w:sz="8" w:space="0" w:color="203136" w:themeColor="accent1"/>
        </w:tcBorders>
      </w:tcPr>
    </w:tblStylePr>
    <w:tblStylePr w:type="firstCol">
      <w:rPr>
        <w:b/>
        <w:bCs/>
      </w:rPr>
    </w:tblStylePr>
    <w:tblStylePr w:type="lastCol">
      <w:rPr>
        <w:b/>
        <w:bCs/>
      </w:rPr>
    </w:tblStylePr>
    <w:tblStylePr w:type="band1Vert">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tcPr>
    </w:tblStylePr>
    <w:tblStylePr w:type="band1Horz">
      <w:tblPr/>
      <w:tcPr>
        <w:tcBorders>
          <w:top w:val="single" w:sz="8" w:space="0" w:color="203136" w:themeColor="accent1"/>
          <w:left w:val="single" w:sz="8" w:space="0" w:color="203136" w:themeColor="accent1"/>
          <w:bottom w:val="single" w:sz="8" w:space="0" w:color="203136" w:themeColor="accent1"/>
          <w:right w:val="single" w:sz="8" w:space="0" w:color="203136" w:themeColor="accent1"/>
        </w:tcBorders>
      </w:tcPr>
    </w:tblStylePr>
  </w:style>
  <w:style w:type="table" w:styleId="LightList-Accent2">
    <w:name w:val="Light List Accent 2"/>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DFC70" w:themeFill="accent2"/>
      </w:tcPr>
    </w:tblStylePr>
    <w:tblStylePr w:type="lastRow">
      <w:pPr>
        <w:spacing w:before="0" w:after="0" w:line="240" w:lineRule="auto"/>
      </w:pPr>
      <w:rPr>
        <w:b/>
        <w:bCs/>
      </w:rPr>
      <w:tblPr/>
      <w:tcPr>
        <w:tcBorders>
          <w:top w:val="double" w:sz="6" w:space="0" w:color="DDFC70" w:themeColor="accent2"/>
          <w:left w:val="single" w:sz="8" w:space="0" w:color="DDFC70" w:themeColor="accent2"/>
          <w:bottom w:val="single" w:sz="8" w:space="0" w:color="DDFC70" w:themeColor="accent2"/>
          <w:right w:val="single" w:sz="8" w:space="0" w:color="DDFC70" w:themeColor="accent2"/>
        </w:tcBorders>
      </w:tcPr>
    </w:tblStylePr>
    <w:tblStylePr w:type="firstCol">
      <w:rPr>
        <w:b/>
        <w:bCs/>
      </w:rPr>
    </w:tblStylePr>
    <w:tblStylePr w:type="lastCol">
      <w:rPr>
        <w:b/>
        <w:bCs/>
      </w:rPr>
    </w:tblStylePr>
    <w:tblStylePr w:type="band1Vert">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tcPr>
    </w:tblStylePr>
    <w:tblStylePr w:type="band1Horz">
      <w:tblPr/>
      <w:tcPr>
        <w:tcBorders>
          <w:top w:val="single" w:sz="8" w:space="0" w:color="DDFC70" w:themeColor="accent2"/>
          <w:left w:val="single" w:sz="8" w:space="0" w:color="DDFC70" w:themeColor="accent2"/>
          <w:bottom w:val="single" w:sz="8" w:space="0" w:color="DDFC70" w:themeColor="accent2"/>
          <w:right w:val="single" w:sz="8" w:space="0" w:color="DDFC70" w:themeColor="accent2"/>
        </w:tcBorders>
      </w:tcPr>
    </w:tblStylePr>
  </w:style>
  <w:style w:type="table" w:styleId="LightList-Accent3">
    <w:name w:val="Light List Accent 3"/>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5C8B6" w:themeFill="accent3"/>
      </w:tcPr>
    </w:tblStylePr>
    <w:tblStylePr w:type="lastRow">
      <w:pPr>
        <w:spacing w:before="0" w:after="0" w:line="240" w:lineRule="auto"/>
      </w:pPr>
      <w:rPr>
        <w:b/>
        <w:bCs/>
      </w:rPr>
      <w:tblPr/>
      <w:tcPr>
        <w:tcBorders>
          <w:top w:val="double" w:sz="6" w:space="0" w:color="D5C8B6" w:themeColor="accent3"/>
          <w:left w:val="single" w:sz="8" w:space="0" w:color="D5C8B6" w:themeColor="accent3"/>
          <w:bottom w:val="single" w:sz="8" w:space="0" w:color="D5C8B6" w:themeColor="accent3"/>
          <w:right w:val="single" w:sz="8" w:space="0" w:color="D5C8B6" w:themeColor="accent3"/>
        </w:tcBorders>
      </w:tcPr>
    </w:tblStylePr>
    <w:tblStylePr w:type="firstCol">
      <w:rPr>
        <w:b/>
        <w:bCs/>
      </w:rPr>
    </w:tblStylePr>
    <w:tblStylePr w:type="lastCol">
      <w:rPr>
        <w:b/>
        <w:bCs/>
      </w:rPr>
    </w:tblStylePr>
    <w:tblStylePr w:type="band1Vert">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tcPr>
    </w:tblStylePr>
    <w:tblStylePr w:type="band1Horz">
      <w:tblPr/>
      <w:tcPr>
        <w:tcBorders>
          <w:top w:val="single" w:sz="8" w:space="0" w:color="D5C8B6" w:themeColor="accent3"/>
          <w:left w:val="single" w:sz="8" w:space="0" w:color="D5C8B6" w:themeColor="accent3"/>
          <w:bottom w:val="single" w:sz="8" w:space="0" w:color="D5C8B6" w:themeColor="accent3"/>
          <w:right w:val="single" w:sz="8" w:space="0" w:color="D5C8B6" w:themeColor="accent3"/>
        </w:tcBorders>
      </w:tcPr>
    </w:tblStylePr>
  </w:style>
  <w:style w:type="table" w:styleId="LightList-Accent4">
    <w:name w:val="Light List Accent 4"/>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89EA6" w:themeFill="accent4"/>
      </w:tcPr>
    </w:tblStylePr>
    <w:tblStylePr w:type="lastRow">
      <w:pPr>
        <w:spacing w:before="0" w:after="0" w:line="240" w:lineRule="auto"/>
      </w:pPr>
      <w:rPr>
        <w:b/>
        <w:bCs/>
      </w:rPr>
      <w:tblPr/>
      <w:tcPr>
        <w:tcBorders>
          <w:top w:val="double" w:sz="6" w:space="0" w:color="889EA6" w:themeColor="accent4"/>
          <w:left w:val="single" w:sz="8" w:space="0" w:color="889EA6" w:themeColor="accent4"/>
          <w:bottom w:val="single" w:sz="8" w:space="0" w:color="889EA6" w:themeColor="accent4"/>
          <w:right w:val="single" w:sz="8" w:space="0" w:color="889EA6" w:themeColor="accent4"/>
        </w:tcBorders>
      </w:tcPr>
    </w:tblStylePr>
    <w:tblStylePr w:type="firstCol">
      <w:rPr>
        <w:b/>
        <w:bCs/>
      </w:rPr>
    </w:tblStylePr>
    <w:tblStylePr w:type="lastCol">
      <w:rPr>
        <w:b/>
        <w:bCs/>
      </w:rPr>
    </w:tblStylePr>
    <w:tblStylePr w:type="band1Vert">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tcPr>
    </w:tblStylePr>
    <w:tblStylePr w:type="band1Horz">
      <w:tblPr/>
      <w:tcPr>
        <w:tcBorders>
          <w:top w:val="single" w:sz="8" w:space="0" w:color="889EA6" w:themeColor="accent4"/>
          <w:left w:val="single" w:sz="8" w:space="0" w:color="889EA6" w:themeColor="accent4"/>
          <w:bottom w:val="single" w:sz="8" w:space="0" w:color="889EA6" w:themeColor="accent4"/>
          <w:right w:val="single" w:sz="8" w:space="0" w:color="889EA6" w:themeColor="accent4"/>
        </w:tcBorders>
      </w:tcPr>
    </w:tblStylePr>
  </w:style>
  <w:style w:type="table" w:styleId="LightList-Accent5">
    <w:name w:val="Light List Accent 5"/>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B8D0EC" w:themeFill="accent5"/>
      </w:tcPr>
    </w:tblStylePr>
    <w:tblStylePr w:type="lastRow">
      <w:pPr>
        <w:spacing w:before="0" w:after="0" w:line="240" w:lineRule="auto"/>
      </w:pPr>
      <w:rPr>
        <w:b/>
        <w:bCs/>
      </w:rPr>
      <w:tblPr/>
      <w:tcPr>
        <w:tcBorders>
          <w:top w:val="double" w:sz="6" w:space="0" w:color="B8D0EC" w:themeColor="accent5"/>
          <w:left w:val="single" w:sz="8" w:space="0" w:color="B8D0EC" w:themeColor="accent5"/>
          <w:bottom w:val="single" w:sz="8" w:space="0" w:color="B8D0EC" w:themeColor="accent5"/>
          <w:right w:val="single" w:sz="8" w:space="0" w:color="B8D0EC" w:themeColor="accent5"/>
        </w:tcBorders>
      </w:tcPr>
    </w:tblStylePr>
    <w:tblStylePr w:type="firstCol">
      <w:rPr>
        <w:b/>
        <w:bCs/>
      </w:rPr>
    </w:tblStylePr>
    <w:tblStylePr w:type="lastCol">
      <w:rPr>
        <w:b/>
        <w:bCs/>
      </w:rPr>
    </w:tblStylePr>
    <w:tblStylePr w:type="band1Vert">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tcPr>
    </w:tblStylePr>
    <w:tblStylePr w:type="band1Horz">
      <w:tblPr/>
      <w:tcPr>
        <w:tcBorders>
          <w:top w:val="single" w:sz="8" w:space="0" w:color="B8D0EC" w:themeColor="accent5"/>
          <w:left w:val="single" w:sz="8" w:space="0" w:color="B8D0EC" w:themeColor="accent5"/>
          <w:bottom w:val="single" w:sz="8" w:space="0" w:color="B8D0EC" w:themeColor="accent5"/>
          <w:right w:val="single" w:sz="8" w:space="0" w:color="B8D0EC" w:themeColor="accent5"/>
        </w:tcBorders>
      </w:tcPr>
    </w:tblStylePr>
  </w:style>
  <w:style w:type="table" w:styleId="LightList-Accent6">
    <w:name w:val="Light List Accent 6"/>
    <w:basedOn w:val="TableNormal"/>
    <w:uiPriority w:val="61"/>
    <w:rsid w:val="00DD0835"/>
    <w:pPr>
      <w:spacing w:line="240" w:lineRule="atLeast"/>
    </w:pPr>
    <w:rPr>
      <w:rFonts w:eastAsia="MS Mincho"/>
      <w:color w:val="000000" w:themeColor="text2"/>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C4EC9A" w:themeFill="accent6"/>
      </w:tcPr>
    </w:tblStylePr>
    <w:tblStylePr w:type="lastRow">
      <w:pPr>
        <w:spacing w:before="0" w:after="0" w:line="240" w:lineRule="auto"/>
      </w:pPr>
      <w:rPr>
        <w:b/>
        <w:bCs/>
      </w:rPr>
      <w:tblPr/>
      <w:tcPr>
        <w:tcBorders>
          <w:top w:val="double" w:sz="6" w:space="0" w:color="C4EC9A" w:themeColor="accent6"/>
          <w:left w:val="single" w:sz="8" w:space="0" w:color="C4EC9A" w:themeColor="accent6"/>
          <w:bottom w:val="single" w:sz="8" w:space="0" w:color="C4EC9A" w:themeColor="accent6"/>
          <w:right w:val="single" w:sz="8" w:space="0" w:color="C4EC9A" w:themeColor="accent6"/>
        </w:tcBorders>
      </w:tcPr>
    </w:tblStylePr>
    <w:tblStylePr w:type="firstCol">
      <w:rPr>
        <w:b/>
        <w:bCs/>
      </w:rPr>
    </w:tblStylePr>
    <w:tblStylePr w:type="lastCol">
      <w:rPr>
        <w:b/>
        <w:bCs/>
      </w:rPr>
    </w:tblStylePr>
    <w:tblStylePr w:type="band1Vert">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tcPr>
    </w:tblStylePr>
    <w:tblStylePr w:type="band1Horz">
      <w:tblPr/>
      <w:tcPr>
        <w:tcBorders>
          <w:top w:val="single" w:sz="8" w:space="0" w:color="C4EC9A" w:themeColor="accent6"/>
          <w:left w:val="single" w:sz="8" w:space="0" w:color="C4EC9A" w:themeColor="accent6"/>
          <w:bottom w:val="single" w:sz="8" w:space="0" w:color="C4EC9A" w:themeColor="accent6"/>
          <w:right w:val="single" w:sz="8" w:space="0" w:color="C4EC9A" w:themeColor="accent6"/>
        </w:tcBorders>
      </w:tcPr>
    </w:tblStylePr>
  </w:style>
  <w:style w:type="table" w:styleId="LightShading">
    <w:name w:val="Light Shading"/>
    <w:basedOn w:val="TableNormal"/>
    <w:uiPriority w:val="60"/>
    <w:rsid w:val="00DD0835"/>
    <w:pPr>
      <w:spacing w:line="240" w:lineRule="atLeast"/>
    </w:pPr>
    <w:rPr>
      <w:rFonts w:eastAsia="MS Mincho"/>
      <w:color w:val="000000" w:themeColor="text1" w:themeShade="BF"/>
      <w:sz w:val="18"/>
      <w:szCs w:val="18"/>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D0835"/>
    <w:pPr>
      <w:spacing w:line="240" w:lineRule="atLeast"/>
    </w:pPr>
    <w:rPr>
      <w:rFonts w:eastAsia="MS Mincho"/>
      <w:color w:val="182428" w:themeColor="accent1" w:themeShade="BF"/>
      <w:sz w:val="18"/>
      <w:szCs w:val="18"/>
    </w:rPr>
    <w:tblPr>
      <w:tblStyleRowBandSize w:val="1"/>
      <w:tblStyleColBandSize w:val="1"/>
      <w:tblBorders>
        <w:top w:val="single" w:sz="8" w:space="0" w:color="203136" w:themeColor="accent1"/>
        <w:bottom w:val="single" w:sz="8" w:space="0" w:color="20313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203136" w:themeColor="accent1"/>
          <w:left w:val="nil"/>
          <w:bottom w:val="single" w:sz="8" w:space="0" w:color="203136" w:themeColor="accent1"/>
          <w:right w:val="nil"/>
          <w:insideH w:val="nil"/>
          <w:insideV w:val="nil"/>
        </w:tcBorders>
      </w:tcPr>
    </w:tblStylePr>
    <w:tblStylePr w:type="lastRow">
      <w:pPr>
        <w:spacing w:before="0" w:after="0" w:line="240" w:lineRule="auto"/>
      </w:pPr>
      <w:rPr>
        <w:b/>
        <w:bCs/>
      </w:rPr>
      <w:tblPr/>
      <w:tcPr>
        <w:tcBorders>
          <w:top w:val="single" w:sz="8" w:space="0" w:color="203136" w:themeColor="accent1"/>
          <w:left w:val="nil"/>
          <w:bottom w:val="single" w:sz="8" w:space="0" w:color="203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1D8" w:themeFill="accent1" w:themeFillTint="3F"/>
      </w:tcPr>
    </w:tblStylePr>
    <w:tblStylePr w:type="band1Horz">
      <w:tblPr/>
      <w:tcPr>
        <w:tcBorders>
          <w:left w:val="nil"/>
          <w:right w:val="nil"/>
          <w:insideH w:val="nil"/>
          <w:insideV w:val="nil"/>
        </w:tcBorders>
        <w:shd w:val="clear" w:color="auto" w:fill="BDD1D8" w:themeFill="accent1" w:themeFillTint="3F"/>
      </w:tcPr>
    </w:tblStylePr>
  </w:style>
  <w:style w:type="table" w:styleId="LightShading-Accent2">
    <w:name w:val="Light Shading Accent 2"/>
    <w:basedOn w:val="TableNormal"/>
    <w:uiPriority w:val="60"/>
    <w:rsid w:val="00DD0835"/>
    <w:pPr>
      <w:spacing w:line="240" w:lineRule="atLeast"/>
    </w:pPr>
    <w:rPr>
      <w:rFonts w:eastAsia="MS Mincho"/>
      <w:color w:val="C7FA16" w:themeColor="accent2" w:themeShade="BF"/>
      <w:sz w:val="18"/>
      <w:szCs w:val="18"/>
    </w:rPr>
    <w:tblPr>
      <w:tblStyleRowBandSize w:val="1"/>
      <w:tblStyleColBandSize w:val="1"/>
      <w:tblBorders>
        <w:top w:val="single" w:sz="8" w:space="0" w:color="DDFC70" w:themeColor="accent2"/>
        <w:bottom w:val="single" w:sz="8" w:space="0" w:color="DDFC7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DFC70" w:themeColor="accent2"/>
          <w:left w:val="nil"/>
          <w:bottom w:val="single" w:sz="8" w:space="0" w:color="DDFC70" w:themeColor="accent2"/>
          <w:right w:val="nil"/>
          <w:insideH w:val="nil"/>
          <w:insideV w:val="nil"/>
        </w:tcBorders>
      </w:tcPr>
    </w:tblStylePr>
    <w:tblStylePr w:type="lastRow">
      <w:pPr>
        <w:spacing w:before="0" w:after="0" w:line="240" w:lineRule="auto"/>
      </w:pPr>
      <w:rPr>
        <w:b/>
        <w:bCs/>
      </w:rPr>
      <w:tblPr/>
      <w:tcPr>
        <w:tcBorders>
          <w:top w:val="single" w:sz="8" w:space="0" w:color="DDFC70" w:themeColor="accent2"/>
          <w:left w:val="nil"/>
          <w:bottom w:val="single" w:sz="8" w:space="0" w:color="DDFC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EDB" w:themeFill="accent2" w:themeFillTint="3F"/>
      </w:tcPr>
    </w:tblStylePr>
    <w:tblStylePr w:type="band1Horz">
      <w:tblPr/>
      <w:tcPr>
        <w:tcBorders>
          <w:left w:val="nil"/>
          <w:right w:val="nil"/>
          <w:insideH w:val="nil"/>
          <w:insideV w:val="nil"/>
        </w:tcBorders>
        <w:shd w:val="clear" w:color="auto" w:fill="F6FEDB" w:themeFill="accent2" w:themeFillTint="3F"/>
      </w:tcPr>
    </w:tblStylePr>
  </w:style>
  <w:style w:type="table" w:styleId="LightShading-Accent3">
    <w:name w:val="Light Shading Accent 3"/>
    <w:basedOn w:val="TableNormal"/>
    <w:uiPriority w:val="60"/>
    <w:rsid w:val="00DD0835"/>
    <w:pPr>
      <w:spacing w:line="240" w:lineRule="atLeast"/>
    </w:pPr>
    <w:rPr>
      <w:rFonts w:eastAsia="MS Mincho"/>
      <w:color w:val="B09876" w:themeColor="accent3" w:themeShade="BF"/>
      <w:sz w:val="18"/>
      <w:szCs w:val="18"/>
    </w:rPr>
    <w:tblPr>
      <w:tblStyleRowBandSize w:val="1"/>
      <w:tblStyleColBandSize w:val="1"/>
      <w:tblBorders>
        <w:top w:val="single" w:sz="8" w:space="0" w:color="D5C8B6" w:themeColor="accent3"/>
        <w:bottom w:val="single" w:sz="8" w:space="0" w:color="D5C8B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5C8B6" w:themeColor="accent3"/>
          <w:left w:val="nil"/>
          <w:bottom w:val="single" w:sz="8" w:space="0" w:color="D5C8B6" w:themeColor="accent3"/>
          <w:right w:val="nil"/>
          <w:insideH w:val="nil"/>
          <w:insideV w:val="nil"/>
        </w:tcBorders>
      </w:tcPr>
    </w:tblStylePr>
    <w:tblStylePr w:type="lastRow">
      <w:pPr>
        <w:spacing w:before="0" w:after="0" w:line="240" w:lineRule="auto"/>
      </w:pPr>
      <w:rPr>
        <w:b/>
        <w:bCs/>
      </w:rPr>
      <w:tblPr/>
      <w:tcPr>
        <w:tcBorders>
          <w:top w:val="single" w:sz="8" w:space="0" w:color="D5C8B6" w:themeColor="accent3"/>
          <w:left w:val="nil"/>
          <w:bottom w:val="single" w:sz="8" w:space="0" w:color="D5C8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1EC" w:themeFill="accent3" w:themeFillTint="3F"/>
      </w:tcPr>
    </w:tblStylePr>
    <w:tblStylePr w:type="band1Horz">
      <w:tblPr/>
      <w:tcPr>
        <w:tcBorders>
          <w:left w:val="nil"/>
          <w:right w:val="nil"/>
          <w:insideH w:val="nil"/>
          <w:insideV w:val="nil"/>
        </w:tcBorders>
        <w:shd w:val="clear" w:color="auto" w:fill="F4F1EC" w:themeFill="accent3" w:themeFillTint="3F"/>
      </w:tcPr>
    </w:tblStylePr>
  </w:style>
  <w:style w:type="table" w:styleId="LightShading-Accent4">
    <w:name w:val="Light Shading Accent 4"/>
    <w:basedOn w:val="TableNormal"/>
    <w:uiPriority w:val="60"/>
    <w:rsid w:val="00DD0835"/>
    <w:pPr>
      <w:spacing w:line="240" w:lineRule="atLeast"/>
    </w:pPr>
    <w:rPr>
      <w:rFonts w:eastAsia="MS Mincho"/>
      <w:color w:val="607881" w:themeColor="accent4" w:themeShade="BF"/>
      <w:sz w:val="18"/>
      <w:szCs w:val="18"/>
    </w:rPr>
    <w:tblPr>
      <w:tblStyleRowBandSize w:val="1"/>
      <w:tblStyleColBandSize w:val="1"/>
      <w:tblBorders>
        <w:top w:val="single" w:sz="8" w:space="0" w:color="889EA6" w:themeColor="accent4"/>
        <w:bottom w:val="single" w:sz="8" w:space="0" w:color="889EA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89EA6" w:themeColor="accent4"/>
          <w:left w:val="nil"/>
          <w:bottom w:val="single" w:sz="8" w:space="0" w:color="889EA6" w:themeColor="accent4"/>
          <w:right w:val="nil"/>
          <w:insideH w:val="nil"/>
          <w:insideV w:val="nil"/>
        </w:tcBorders>
      </w:tcPr>
    </w:tblStylePr>
    <w:tblStylePr w:type="lastRow">
      <w:pPr>
        <w:spacing w:before="0" w:after="0" w:line="240" w:lineRule="auto"/>
      </w:pPr>
      <w:rPr>
        <w:b/>
        <w:bCs/>
      </w:rPr>
      <w:tblPr/>
      <w:tcPr>
        <w:tcBorders>
          <w:top w:val="single" w:sz="8" w:space="0" w:color="889EA6" w:themeColor="accent4"/>
          <w:left w:val="nil"/>
          <w:bottom w:val="single" w:sz="8" w:space="0" w:color="889E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6E9" w:themeFill="accent4" w:themeFillTint="3F"/>
      </w:tcPr>
    </w:tblStylePr>
    <w:tblStylePr w:type="band1Horz">
      <w:tblPr/>
      <w:tcPr>
        <w:tcBorders>
          <w:left w:val="nil"/>
          <w:right w:val="nil"/>
          <w:insideH w:val="nil"/>
          <w:insideV w:val="nil"/>
        </w:tcBorders>
        <w:shd w:val="clear" w:color="auto" w:fill="E1E6E9" w:themeFill="accent4" w:themeFillTint="3F"/>
      </w:tcPr>
    </w:tblStylePr>
  </w:style>
  <w:style w:type="table" w:styleId="LightShading-Accent5">
    <w:name w:val="Light Shading Accent 5"/>
    <w:basedOn w:val="TableNormal"/>
    <w:uiPriority w:val="60"/>
    <w:rsid w:val="00DD0835"/>
    <w:pPr>
      <w:spacing w:line="240" w:lineRule="atLeast"/>
    </w:pPr>
    <w:rPr>
      <w:rFonts w:eastAsia="MS Mincho"/>
      <w:color w:val="6498D5" w:themeColor="accent5" w:themeShade="BF"/>
      <w:sz w:val="18"/>
      <w:szCs w:val="18"/>
    </w:rPr>
    <w:tblPr>
      <w:tblStyleRowBandSize w:val="1"/>
      <w:tblStyleColBandSize w:val="1"/>
      <w:tblBorders>
        <w:top w:val="single" w:sz="8" w:space="0" w:color="B8D0EC" w:themeColor="accent5"/>
        <w:bottom w:val="single" w:sz="8" w:space="0" w:color="B8D0EC"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B8D0EC" w:themeColor="accent5"/>
          <w:left w:val="nil"/>
          <w:bottom w:val="single" w:sz="8" w:space="0" w:color="B8D0EC" w:themeColor="accent5"/>
          <w:right w:val="nil"/>
          <w:insideH w:val="nil"/>
          <w:insideV w:val="nil"/>
        </w:tcBorders>
      </w:tcPr>
    </w:tblStylePr>
    <w:tblStylePr w:type="lastRow">
      <w:pPr>
        <w:spacing w:before="0" w:after="0" w:line="240" w:lineRule="auto"/>
      </w:pPr>
      <w:rPr>
        <w:b/>
        <w:bCs/>
      </w:rPr>
      <w:tblPr/>
      <w:tcPr>
        <w:tcBorders>
          <w:top w:val="single" w:sz="8" w:space="0" w:color="B8D0EC" w:themeColor="accent5"/>
          <w:left w:val="nil"/>
          <w:bottom w:val="single" w:sz="8" w:space="0" w:color="B8D0E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3FA" w:themeFill="accent5" w:themeFillTint="3F"/>
      </w:tcPr>
    </w:tblStylePr>
    <w:tblStylePr w:type="band1Horz">
      <w:tblPr/>
      <w:tcPr>
        <w:tcBorders>
          <w:left w:val="nil"/>
          <w:right w:val="nil"/>
          <w:insideH w:val="nil"/>
          <w:insideV w:val="nil"/>
        </w:tcBorders>
        <w:shd w:val="clear" w:color="auto" w:fill="EDF3FA" w:themeFill="accent5" w:themeFillTint="3F"/>
      </w:tcPr>
    </w:tblStylePr>
  </w:style>
  <w:style w:type="table" w:styleId="LightShading-Accent6">
    <w:name w:val="Light Shading Accent 6"/>
    <w:basedOn w:val="TableNormal"/>
    <w:uiPriority w:val="60"/>
    <w:rsid w:val="00DD0835"/>
    <w:pPr>
      <w:spacing w:line="240" w:lineRule="atLeast"/>
    </w:pPr>
    <w:rPr>
      <w:rFonts w:eastAsia="MS Mincho"/>
      <w:color w:val="93DC47" w:themeColor="accent6" w:themeShade="BF"/>
      <w:sz w:val="18"/>
      <w:szCs w:val="18"/>
    </w:rPr>
    <w:tblPr>
      <w:tblStyleRowBandSize w:val="1"/>
      <w:tblStyleColBandSize w:val="1"/>
      <w:tblBorders>
        <w:top w:val="single" w:sz="8" w:space="0" w:color="C4EC9A" w:themeColor="accent6"/>
        <w:bottom w:val="single" w:sz="8" w:space="0" w:color="C4EC9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C4EC9A" w:themeColor="accent6"/>
          <w:left w:val="nil"/>
          <w:bottom w:val="single" w:sz="8" w:space="0" w:color="C4EC9A" w:themeColor="accent6"/>
          <w:right w:val="nil"/>
          <w:insideH w:val="nil"/>
          <w:insideV w:val="nil"/>
        </w:tcBorders>
      </w:tcPr>
    </w:tblStylePr>
    <w:tblStylePr w:type="lastRow">
      <w:pPr>
        <w:spacing w:before="0" w:after="0" w:line="240" w:lineRule="auto"/>
      </w:pPr>
      <w:rPr>
        <w:b/>
        <w:bCs/>
      </w:rPr>
      <w:tblPr/>
      <w:tcPr>
        <w:tcBorders>
          <w:top w:val="single" w:sz="8" w:space="0" w:color="C4EC9A" w:themeColor="accent6"/>
          <w:left w:val="nil"/>
          <w:bottom w:val="single" w:sz="8" w:space="0" w:color="C4EC9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AE6" w:themeFill="accent6" w:themeFillTint="3F"/>
      </w:tcPr>
    </w:tblStylePr>
    <w:tblStylePr w:type="band1Horz">
      <w:tblPr/>
      <w:tcPr>
        <w:tcBorders>
          <w:left w:val="nil"/>
          <w:right w:val="nil"/>
          <w:insideH w:val="nil"/>
          <w:insideV w:val="nil"/>
        </w:tcBorders>
        <w:shd w:val="clear" w:color="auto" w:fill="F0FAE6" w:themeFill="accent6" w:themeFillTint="3F"/>
      </w:tcPr>
    </w:tblStylePr>
  </w:style>
  <w:style w:type="character" w:styleId="LineNumber">
    <w:name w:val="line number"/>
    <w:basedOn w:val="DefaultParagraphFont"/>
    <w:uiPriority w:val="99"/>
    <w:semiHidden/>
    <w:unhideWhenUsed/>
    <w:rsid w:val="00DD0835"/>
  </w:style>
  <w:style w:type="paragraph" w:styleId="List">
    <w:name w:val="List"/>
    <w:basedOn w:val="Normal"/>
    <w:uiPriority w:val="99"/>
    <w:semiHidden/>
    <w:unhideWhenUsed/>
    <w:rsid w:val="00DD0835"/>
    <w:pPr>
      <w:ind w:left="283" w:hanging="283"/>
      <w:contextualSpacing/>
    </w:pPr>
  </w:style>
  <w:style w:type="paragraph" w:styleId="List2">
    <w:name w:val="List 2"/>
    <w:basedOn w:val="Normal"/>
    <w:uiPriority w:val="99"/>
    <w:semiHidden/>
    <w:unhideWhenUsed/>
    <w:rsid w:val="00DD0835"/>
    <w:pPr>
      <w:ind w:left="566" w:hanging="283"/>
      <w:contextualSpacing/>
    </w:pPr>
  </w:style>
  <w:style w:type="paragraph" w:styleId="List3">
    <w:name w:val="List 3"/>
    <w:basedOn w:val="Normal"/>
    <w:uiPriority w:val="99"/>
    <w:semiHidden/>
    <w:unhideWhenUsed/>
    <w:rsid w:val="00DD0835"/>
    <w:pPr>
      <w:ind w:left="849" w:hanging="283"/>
      <w:contextualSpacing/>
    </w:pPr>
  </w:style>
  <w:style w:type="paragraph" w:styleId="List4">
    <w:name w:val="List 4"/>
    <w:basedOn w:val="Normal"/>
    <w:uiPriority w:val="99"/>
    <w:semiHidden/>
    <w:unhideWhenUsed/>
    <w:rsid w:val="00DD0835"/>
    <w:pPr>
      <w:ind w:left="1132" w:hanging="283"/>
      <w:contextualSpacing/>
    </w:pPr>
  </w:style>
  <w:style w:type="paragraph" w:styleId="ListBullet2">
    <w:name w:val="List Bullet 2"/>
    <w:basedOn w:val="Normal"/>
    <w:uiPriority w:val="4"/>
    <w:rsid w:val="00DD0835"/>
    <w:pPr>
      <w:numPr>
        <w:ilvl w:val="1"/>
        <w:numId w:val="9"/>
      </w:numPr>
      <w:contextualSpacing/>
    </w:pPr>
  </w:style>
  <w:style w:type="paragraph" w:styleId="ListNumber3">
    <w:name w:val="List Number 3"/>
    <w:basedOn w:val="Normal"/>
    <w:uiPriority w:val="5"/>
    <w:qFormat/>
    <w:rsid w:val="00DD0835"/>
    <w:pPr>
      <w:numPr>
        <w:ilvl w:val="2"/>
        <w:numId w:val="11"/>
      </w:numPr>
      <w:contextualSpacing/>
    </w:pPr>
  </w:style>
  <w:style w:type="paragraph" w:styleId="ListBullet5">
    <w:name w:val="List Bullet 5"/>
    <w:basedOn w:val="Normal"/>
    <w:uiPriority w:val="99"/>
    <w:semiHidden/>
    <w:unhideWhenUsed/>
    <w:rsid w:val="00DD0835"/>
    <w:pPr>
      <w:tabs>
        <w:tab w:val="num" w:pos="360"/>
      </w:tabs>
      <w:ind w:left="360" w:hanging="360"/>
      <w:contextualSpacing/>
    </w:pPr>
  </w:style>
  <w:style w:type="paragraph" w:styleId="ListContinue">
    <w:name w:val="List Continue"/>
    <w:basedOn w:val="Normal"/>
    <w:uiPriority w:val="99"/>
    <w:semiHidden/>
    <w:unhideWhenUsed/>
    <w:rsid w:val="00DD0835"/>
    <w:pPr>
      <w:ind w:left="283"/>
      <w:contextualSpacing/>
    </w:pPr>
  </w:style>
  <w:style w:type="paragraph" w:styleId="ListContinue2">
    <w:name w:val="List Continue 2"/>
    <w:basedOn w:val="Normal"/>
    <w:uiPriority w:val="99"/>
    <w:semiHidden/>
    <w:unhideWhenUsed/>
    <w:rsid w:val="00DD0835"/>
    <w:pPr>
      <w:ind w:left="566"/>
      <w:contextualSpacing/>
    </w:pPr>
  </w:style>
  <w:style w:type="paragraph" w:styleId="ListContinue3">
    <w:name w:val="List Continue 3"/>
    <w:basedOn w:val="Normal"/>
    <w:uiPriority w:val="99"/>
    <w:semiHidden/>
    <w:unhideWhenUsed/>
    <w:rsid w:val="00DD0835"/>
    <w:pPr>
      <w:ind w:left="849"/>
      <w:contextualSpacing/>
    </w:pPr>
  </w:style>
  <w:style w:type="paragraph" w:styleId="ListContinue4">
    <w:name w:val="List Continue 4"/>
    <w:basedOn w:val="Normal"/>
    <w:uiPriority w:val="99"/>
    <w:semiHidden/>
    <w:unhideWhenUsed/>
    <w:rsid w:val="00DD0835"/>
    <w:pPr>
      <w:ind w:left="1132"/>
      <w:contextualSpacing/>
    </w:pPr>
  </w:style>
  <w:style w:type="paragraph" w:styleId="ListContinue5">
    <w:name w:val="List Continue 5"/>
    <w:basedOn w:val="Normal"/>
    <w:uiPriority w:val="99"/>
    <w:semiHidden/>
    <w:unhideWhenUsed/>
    <w:rsid w:val="00DD0835"/>
    <w:pPr>
      <w:ind w:left="1415"/>
      <w:contextualSpacing/>
    </w:pPr>
  </w:style>
  <w:style w:type="paragraph" w:styleId="ListNumber4">
    <w:name w:val="List Number 4"/>
    <w:basedOn w:val="Normal"/>
    <w:uiPriority w:val="99"/>
    <w:semiHidden/>
    <w:unhideWhenUsed/>
    <w:rsid w:val="00DD0835"/>
    <w:pPr>
      <w:ind w:left="720" w:hanging="360"/>
      <w:contextualSpacing/>
    </w:pPr>
  </w:style>
  <w:style w:type="paragraph" w:styleId="ListNumber5">
    <w:name w:val="List Number 5"/>
    <w:basedOn w:val="Normal"/>
    <w:uiPriority w:val="99"/>
    <w:semiHidden/>
    <w:unhideWhenUsed/>
    <w:rsid w:val="00DD0835"/>
    <w:pPr>
      <w:numPr>
        <w:numId w:val="10"/>
      </w:numPr>
      <w:contextualSpacing/>
    </w:pPr>
  </w:style>
  <w:style w:type="paragraph" w:styleId="MacroText">
    <w:name w:val="macro"/>
    <w:link w:val="MacroTextChar"/>
    <w:uiPriority w:val="99"/>
    <w:semiHidden/>
    <w:unhideWhenUsed/>
    <w:rsid w:val="00DD0835"/>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eastAsia="Times New Roman" w:hAnsi="Consolas" w:cs="Consolas"/>
      <w:color w:val="000000" w:themeColor="text2"/>
      <w:sz w:val="18"/>
      <w:szCs w:val="18"/>
      <w:lang w:val="en-AU"/>
    </w:rPr>
  </w:style>
  <w:style w:type="character" w:customStyle="1" w:styleId="MacroTextChar">
    <w:name w:val="Macro Text Char"/>
    <w:basedOn w:val="DefaultParagraphFont"/>
    <w:link w:val="MacroText"/>
    <w:uiPriority w:val="99"/>
    <w:semiHidden/>
    <w:rsid w:val="00DD0835"/>
    <w:rPr>
      <w:rFonts w:ascii="Consolas" w:eastAsia="Times New Roman" w:hAnsi="Consolas" w:cs="Consolas"/>
      <w:color w:val="000000" w:themeColor="text2"/>
      <w:sz w:val="18"/>
      <w:szCs w:val="18"/>
      <w:lang w:val="en-AU" w:eastAsia="en-US"/>
    </w:rPr>
  </w:style>
  <w:style w:type="table" w:styleId="MediumGrid1">
    <w:name w:val="Medium Grid 1"/>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single" w:sz="8" w:space="0" w:color="476D78" w:themeColor="accent1" w:themeTint="BF"/>
        <w:insideV w:val="single" w:sz="8" w:space="0" w:color="476D78" w:themeColor="accent1" w:themeTint="BF"/>
      </w:tblBorders>
    </w:tblPr>
    <w:tcPr>
      <w:shd w:val="clear" w:color="auto" w:fill="BDD1D8"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76D78" w:themeColor="accent1" w:themeTint="BF"/>
        </w:tcBorders>
      </w:tcPr>
    </w:tblStylePr>
    <w:tblStylePr w:type="firstCol">
      <w:rPr>
        <w:b/>
        <w:bCs/>
      </w:rPr>
    </w:tblStylePr>
    <w:tblStylePr w:type="lastCol">
      <w:rPr>
        <w:b/>
        <w:bCs/>
      </w:rPr>
    </w:tblStylePr>
    <w:tblStylePr w:type="band1Vert">
      <w:tblPr/>
      <w:tcPr>
        <w:shd w:val="clear" w:color="auto" w:fill="7AA4B0" w:themeFill="accent1" w:themeFillTint="7F"/>
      </w:tcPr>
    </w:tblStylePr>
    <w:tblStylePr w:type="band1Horz">
      <w:tblPr/>
      <w:tcPr>
        <w:shd w:val="clear" w:color="auto" w:fill="7AA4B0" w:themeFill="accent1" w:themeFillTint="7F"/>
      </w:tcPr>
    </w:tblStylePr>
  </w:style>
  <w:style w:type="table" w:styleId="MediumGrid1-Accent2">
    <w:name w:val="Medium Grid 1 Accent 2"/>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single" w:sz="8" w:space="0" w:color="E5FC93" w:themeColor="accent2" w:themeTint="BF"/>
        <w:insideV w:val="single" w:sz="8" w:space="0" w:color="E5FC93" w:themeColor="accent2" w:themeTint="BF"/>
      </w:tblBorders>
    </w:tblPr>
    <w:tcPr>
      <w:shd w:val="clear" w:color="auto" w:fill="F6FEDB"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5FC93" w:themeColor="accent2" w:themeTint="BF"/>
        </w:tcBorders>
      </w:tcPr>
    </w:tblStylePr>
    <w:tblStylePr w:type="firstCol">
      <w:rPr>
        <w:b/>
        <w:bCs/>
      </w:rPr>
    </w:tblStylePr>
    <w:tblStylePr w:type="lastCol">
      <w:rPr>
        <w:b/>
        <w:bCs/>
      </w:rPr>
    </w:tblStylePr>
    <w:tblStylePr w:type="band1Vert">
      <w:tblPr/>
      <w:tcPr>
        <w:shd w:val="clear" w:color="auto" w:fill="EDFDB7" w:themeFill="accent2" w:themeFillTint="7F"/>
      </w:tcPr>
    </w:tblStylePr>
    <w:tblStylePr w:type="band1Horz">
      <w:tblPr/>
      <w:tcPr>
        <w:shd w:val="clear" w:color="auto" w:fill="EDFDB7" w:themeFill="accent2" w:themeFillTint="7F"/>
      </w:tcPr>
    </w:tblStylePr>
  </w:style>
  <w:style w:type="table" w:styleId="MediumGrid1-Accent3">
    <w:name w:val="Medium Grid 1 Accent 3"/>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single" w:sz="8" w:space="0" w:color="DFD5C8" w:themeColor="accent3" w:themeTint="BF"/>
        <w:insideV w:val="single" w:sz="8" w:space="0" w:color="DFD5C8" w:themeColor="accent3" w:themeTint="BF"/>
      </w:tblBorders>
    </w:tblPr>
    <w:tcPr>
      <w:shd w:val="clear" w:color="auto" w:fill="F4F1EC"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DFD5C8" w:themeColor="accent3" w:themeTint="BF"/>
        </w:tcBorders>
      </w:tcPr>
    </w:tblStylePr>
    <w:tblStylePr w:type="firstCol">
      <w:rPr>
        <w:b/>
        <w:bCs/>
      </w:rPr>
    </w:tblStylePr>
    <w:tblStylePr w:type="lastCol">
      <w:rPr>
        <w:b/>
        <w:bCs/>
      </w:rPr>
    </w:tblStylePr>
    <w:tblStylePr w:type="band1Vert">
      <w:tblPr/>
      <w:tcPr>
        <w:shd w:val="clear" w:color="auto" w:fill="EAE3DA" w:themeFill="accent3" w:themeFillTint="7F"/>
      </w:tcPr>
    </w:tblStylePr>
    <w:tblStylePr w:type="band1Horz">
      <w:tblPr/>
      <w:tcPr>
        <w:shd w:val="clear" w:color="auto" w:fill="EAE3DA" w:themeFill="accent3" w:themeFillTint="7F"/>
      </w:tcPr>
    </w:tblStylePr>
  </w:style>
  <w:style w:type="table" w:styleId="MediumGrid1-Accent4">
    <w:name w:val="Medium Grid 1 Accent 4"/>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single" w:sz="8" w:space="0" w:color="A5B6BC" w:themeColor="accent4" w:themeTint="BF"/>
        <w:insideV w:val="single" w:sz="8" w:space="0" w:color="A5B6BC" w:themeColor="accent4" w:themeTint="BF"/>
      </w:tblBorders>
    </w:tblPr>
    <w:tcPr>
      <w:shd w:val="clear" w:color="auto" w:fill="E1E6E9"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5B6BC" w:themeColor="accent4" w:themeTint="BF"/>
        </w:tcBorders>
      </w:tcPr>
    </w:tblStylePr>
    <w:tblStylePr w:type="firstCol">
      <w:rPr>
        <w:b/>
        <w:bCs/>
      </w:rPr>
    </w:tblStylePr>
    <w:tblStylePr w:type="lastCol">
      <w:rPr>
        <w:b/>
        <w:bCs/>
      </w:rPr>
    </w:tblStylePr>
    <w:tblStylePr w:type="band1Vert">
      <w:tblPr/>
      <w:tcPr>
        <w:shd w:val="clear" w:color="auto" w:fill="C3CED2" w:themeFill="accent4" w:themeFillTint="7F"/>
      </w:tcPr>
    </w:tblStylePr>
    <w:tblStylePr w:type="band1Horz">
      <w:tblPr/>
      <w:tcPr>
        <w:shd w:val="clear" w:color="auto" w:fill="C3CED2" w:themeFill="accent4" w:themeFillTint="7F"/>
      </w:tcPr>
    </w:tblStylePr>
  </w:style>
  <w:style w:type="table" w:styleId="MediumGrid1-Accent5">
    <w:name w:val="Medium Grid 1 Accent 5"/>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single" w:sz="8" w:space="0" w:color="C9DBF0" w:themeColor="accent5" w:themeTint="BF"/>
        <w:insideV w:val="single" w:sz="8" w:space="0" w:color="C9DBF0" w:themeColor="accent5" w:themeTint="BF"/>
      </w:tblBorders>
    </w:tblPr>
    <w:tcPr>
      <w:shd w:val="clear" w:color="auto" w:fill="EDF3FA"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C9DBF0" w:themeColor="accent5" w:themeTint="BF"/>
        </w:tcBorders>
      </w:tcPr>
    </w:tblStylePr>
    <w:tblStylePr w:type="firstCol">
      <w:rPr>
        <w:b/>
        <w:bCs/>
      </w:rPr>
    </w:tblStylePr>
    <w:tblStylePr w:type="lastCol">
      <w:rPr>
        <w:b/>
        <w:bCs/>
      </w:rPr>
    </w:tblStylePr>
    <w:tblStylePr w:type="band1Vert">
      <w:tblPr/>
      <w:tcPr>
        <w:shd w:val="clear" w:color="auto" w:fill="DBE7F5" w:themeFill="accent5" w:themeFillTint="7F"/>
      </w:tcPr>
    </w:tblStylePr>
    <w:tblStylePr w:type="band1Horz">
      <w:tblPr/>
      <w:tcPr>
        <w:shd w:val="clear" w:color="auto" w:fill="DBE7F5" w:themeFill="accent5" w:themeFillTint="7F"/>
      </w:tcPr>
    </w:tblStylePr>
  </w:style>
  <w:style w:type="table" w:styleId="MediumGrid1-Accent6">
    <w:name w:val="Medium Grid 1 Accent 6"/>
    <w:basedOn w:val="TableNormal"/>
    <w:uiPriority w:val="67"/>
    <w:rsid w:val="00DD0835"/>
    <w:pPr>
      <w:spacing w:line="240" w:lineRule="atLeast"/>
    </w:pPr>
    <w:rPr>
      <w:rFonts w:eastAsia="MS Mincho"/>
      <w:color w:val="000000" w:themeColor="text2"/>
      <w:sz w:val="18"/>
      <w:szCs w:val="18"/>
    </w:rPr>
    <w:tblPr>
      <w:tblStyleRowBandSize w:val="1"/>
      <w:tblStyleColBandSize w:val="1"/>
      <w:tblBorders>
        <w:top w:val="single" w:sz="8"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single" w:sz="8" w:space="0" w:color="D2F0B3" w:themeColor="accent6" w:themeTint="BF"/>
        <w:insideV w:val="single" w:sz="8" w:space="0" w:color="D2F0B3" w:themeColor="accent6" w:themeTint="BF"/>
      </w:tblBorders>
    </w:tblPr>
    <w:tcPr>
      <w:shd w:val="clear" w:color="auto" w:fill="F0FAE6"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D2F0B3" w:themeColor="accent6" w:themeTint="BF"/>
        </w:tcBorders>
      </w:tcPr>
    </w:tblStylePr>
    <w:tblStylePr w:type="firstCol">
      <w:rPr>
        <w:b/>
        <w:bCs/>
      </w:rPr>
    </w:tblStylePr>
    <w:tblStylePr w:type="lastCol">
      <w:rPr>
        <w:b/>
        <w:bCs/>
      </w:rPr>
    </w:tblStylePr>
    <w:tblStylePr w:type="band1Vert">
      <w:tblPr/>
      <w:tcPr>
        <w:shd w:val="clear" w:color="auto" w:fill="E1F5CC" w:themeFill="accent6" w:themeFillTint="7F"/>
      </w:tcPr>
    </w:tblStylePr>
    <w:tblStylePr w:type="band1Horz">
      <w:tblPr/>
      <w:tcPr>
        <w:shd w:val="clear" w:color="auto" w:fill="E1F5CC" w:themeFill="accent6" w:themeFillTint="7F"/>
      </w:tcPr>
    </w:tblStylePr>
  </w:style>
  <w:style w:type="table" w:styleId="MediumGrid2">
    <w:name w:val="Medium Grid 2"/>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insideH w:val="single" w:sz="8" w:space="0" w:color="203136" w:themeColor="accent1"/>
        <w:insideV w:val="single" w:sz="8" w:space="0" w:color="203136" w:themeColor="accent1"/>
      </w:tblBorders>
    </w:tblPr>
    <w:tcPr>
      <w:shd w:val="clear" w:color="auto" w:fill="BDD1D8" w:themeFill="accent1" w:themeFillTint="3F"/>
      <w:tcMar>
        <w:top w:w="57" w:type="dxa"/>
        <w:left w:w="57" w:type="dxa"/>
        <w:bottom w:w="57" w:type="dxa"/>
        <w:right w:w="57" w:type="dxa"/>
      </w:tcMar>
    </w:tcPr>
    <w:tblStylePr w:type="firstRow">
      <w:rPr>
        <w:rFonts w:asciiTheme="majorHAnsi" w:hAnsiTheme="majorHAnsi"/>
        <w:b/>
        <w:bCs/>
      </w:rPr>
      <w:tblPr/>
      <w:tcPr>
        <w:shd w:val="clear" w:color="auto" w:fill="E4ED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ADF" w:themeFill="accent1" w:themeFillTint="33"/>
      </w:tcPr>
    </w:tblStylePr>
    <w:tblStylePr w:type="band1Vert">
      <w:tblPr/>
      <w:tcPr>
        <w:shd w:val="clear" w:color="auto" w:fill="7AA4B0" w:themeFill="accent1" w:themeFillTint="7F"/>
      </w:tcPr>
    </w:tblStylePr>
    <w:tblStylePr w:type="band1Horz">
      <w:tblPr/>
      <w:tcPr>
        <w:tcBorders>
          <w:insideH w:val="single" w:sz="6" w:space="0" w:color="203136" w:themeColor="accent1"/>
          <w:insideV w:val="single" w:sz="6" w:space="0" w:color="203136" w:themeColor="accent1"/>
        </w:tcBorders>
        <w:shd w:val="clear" w:color="auto" w:fill="7AA4B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insideH w:val="single" w:sz="8" w:space="0" w:color="DDFC70" w:themeColor="accent2"/>
        <w:insideV w:val="single" w:sz="8" w:space="0" w:color="DDFC70" w:themeColor="accent2"/>
      </w:tblBorders>
    </w:tblPr>
    <w:tcPr>
      <w:shd w:val="clear" w:color="auto" w:fill="F6FEDB" w:themeFill="accent2" w:themeFillTint="3F"/>
      <w:tcMar>
        <w:top w:w="57" w:type="dxa"/>
        <w:left w:w="57" w:type="dxa"/>
        <w:bottom w:w="57" w:type="dxa"/>
        <w:right w:w="57" w:type="dxa"/>
      </w:tcMar>
    </w:tcPr>
    <w:tblStylePr w:type="firstRow">
      <w:rPr>
        <w:rFonts w:asciiTheme="majorHAnsi" w:hAnsiTheme="majorHAnsi"/>
        <w:b/>
        <w:bCs/>
      </w:rPr>
      <w:tblPr/>
      <w:tcPr>
        <w:shd w:val="clear" w:color="auto" w:fill="FBF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EE2" w:themeFill="accent2" w:themeFillTint="33"/>
      </w:tcPr>
    </w:tblStylePr>
    <w:tblStylePr w:type="band1Vert">
      <w:tblPr/>
      <w:tcPr>
        <w:shd w:val="clear" w:color="auto" w:fill="EDFDB7" w:themeFill="accent2" w:themeFillTint="7F"/>
      </w:tcPr>
    </w:tblStylePr>
    <w:tblStylePr w:type="band1Horz">
      <w:tblPr/>
      <w:tcPr>
        <w:tcBorders>
          <w:insideH w:val="single" w:sz="6" w:space="0" w:color="DDFC70" w:themeColor="accent2"/>
          <w:insideV w:val="single" w:sz="6" w:space="0" w:color="DDFC70" w:themeColor="accent2"/>
        </w:tcBorders>
        <w:shd w:val="clear" w:color="auto" w:fill="EDFD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insideH w:val="single" w:sz="8" w:space="0" w:color="D5C8B6" w:themeColor="accent3"/>
        <w:insideV w:val="single" w:sz="8" w:space="0" w:color="D5C8B6" w:themeColor="accent3"/>
      </w:tblBorders>
    </w:tblPr>
    <w:tcPr>
      <w:shd w:val="clear" w:color="auto" w:fill="F4F1EC"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9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4F0" w:themeFill="accent3" w:themeFillTint="33"/>
      </w:tcPr>
    </w:tblStylePr>
    <w:tblStylePr w:type="band1Vert">
      <w:tblPr/>
      <w:tcPr>
        <w:shd w:val="clear" w:color="auto" w:fill="EAE3DA" w:themeFill="accent3" w:themeFillTint="7F"/>
      </w:tcPr>
    </w:tblStylePr>
    <w:tblStylePr w:type="band1Horz">
      <w:tblPr/>
      <w:tcPr>
        <w:tcBorders>
          <w:insideH w:val="single" w:sz="6" w:space="0" w:color="D5C8B6" w:themeColor="accent3"/>
          <w:insideV w:val="single" w:sz="6" w:space="0" w:color="D5C8B6" w:themeColor="accent3"/>
        </w:tcBorders>
        <w:shd w:val="clear" w:color="auto" w:fill="EAE3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insideH w:val="single" w:sz="8" w:space="0" w:color="889EA6" w:themeColor="accent4"/>
        <w:insideV w:val="single" w:sz="8" w:space="0" w:color="889EA6" w:themeColor="accent4"/>
      </w:tblBorders>
    </w:tblPr>
    <w:tcPr>
      <w:shd w:val="clear" w:color="auto" w:fill="E1E6E9" w:themeFill="accent4" w:themeFillTint="3F"/>
      <w:tcMar>
        <w:top w:w="57" w:type="dxa"/>
        <w:left w:w="57" w:type="dxa"/>
        <w:bottom w:w="57" w:type="dxa"/>
        <w:right w:w="57" w:type="dxa"/>
      </w:tcMar>
    </w:tcPr>
    <w:tblStylePr w:type="firstRow">
      <w:rPr>
        <w:rFonts w:asciiTheme="majorHAnsi" w:hAnsiTheme="majorHAnsi"/>
        <w:b/>
        <w:bCs/>
      </w:rPr>
      <w:tblPr/>
      <w:tcPr>
        <w:shd w:val="clear" w:color="auto" w:fill="F3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BED" w:themeFill="accent4" w:themeFillTint="33"/>
      </w:tcPr>
    </w:tblStylePr>
    <w:tblStylePr w:type="band1Vert">
      <w:tblPr/>
      <w:tcPr>
        <w:shd w:val="clear" w:color="auto" w:fill="C3CED2" w:themeFill="accent4" w:themeFillTint="7F"/>
      </w:tcPr>
    </w:tblStylePr>
    <w:tblStylePr w:type="band1Horz">
      <w:tblPr/>
      <w:tcPr>
        <w:tcBorders>
          <w:insideH w:val="single" w:sz="6" w:space="0" w:color="889EA6" w:themeColor="accent4"/>
          <w:insideV w:val="single" w:sz="6" w:space="0" w:color="889EA6" w:themeColor="accent4"/>
        </w:tcBorders>
        <w:shd w:val="clear" w:color="auto" w:fill="C3CE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insideH w:val="single" w:sz="8" w:space="0" w:color="B8D0EC" w:themeColor="accent5"/>
        <w:insideV w:val="single" w:sz="8" w:space="0" w:color="B8D0EC" w:themeColor="accent5"/>
      </w:tblBorders>
    </w:tblPr>
    <w:tcPr>
      <w:shd w:val="clear" w:color="auto" w:fill="EDF3FA" w:themeFill="accent5" w:themeFillTint="3F"/>
      <w:tcMar>
        <w:top w:w="57" w:type="dxa"/>
        <w:left w:w="57" w:type="dxa"/>
        <w:bottom w:w="57" w:type="dxa"/>
        <w:right w:w="57" w:type="dxa"/>
      </w:tcMar>
    </w:tcPr>
    <w:tblStylePr w:type="firstRow">
      <w:rPr>
        <w:rFonts w:asciiTheme="majorHAnsi" w:hAnsiTheme="majorHAnsi"/>
        <w:b/>
        <w:bCs/>
      </w:rPr>
      <w:tblPr/>
      <w:tcPr>
        <w:shd w:val="clear" w:color="auto" w:fill="F7FA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FB" w:themeFill="accent5" w:themeFillTint="33"/>
      </w:tcPr>
    </w:tblStylePr>
    <w:tblStylePr w:type="band1Vert">
      <w:tblPr/>
      <w:tcPr>
        <w:shd w:val="clear" w:color="auto" w:fill="DBE7F5" w:themeFill="accent5" w:themeFillTint="7F"/>
      </w:tcPr>
    </w:tblStylePr>
    <w:tblStylePr w:type="band1Horz">
      <w:tblPr/>
      <w:tcPr>
        <w:tcBorders>
          <w:insideH w:val="single" w:sz="6" w:space="0" w:color="B8D0EC" w:themeColor="accent5"/>
          <w:insideV w:val="single" w:sz="6" w:space="0" w:color="B8D0EC" w:themeColor="accent5"/>
        </w:tcBorders>
        <w:shd w:val="clear" w:color="auto" w:fill="DBE7F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insideH w:val="single" w:sz="8" w:space="0" w:color="C4EC9A" w:themeColor="accent6"/>
        <w:insideV w:val="single" w:sz="8" w:space="0" w:color="C4EC9A" w:themeColor="accent6"/>
      </w:tblBorders>
    </w:tblPr>
    <w:tcPr>
      <w:shd w:val="clear" w:color="auto" w:fill="F0FAE6" w:themeFill="accent6" w:themeFillTint="3F"/>
      <w:tcMar>
        <w:top w:w="57" w:type="dxa"/>
        <w:left w:w="57" w:type="dxa"/>
        <w:bottom w:w="57" w:type="dxa"/>
        <w:right w:w="57" w:type="dxa"/>
      </w:tcMar>
    </w:tcPr>
    <w:tblStylePr w:type="firstRow">
      <w:rPr>
        <w:rFonts w:asciiTheme="majorHAnsi" w:hAnsiTheme="majorHAnsi"/>
        <w:b/>
        <w:bCs/>
      </w:rPr>
      <w:tblPr/>
      <w:tcPr>
        <w:shd w:val="clear" w:color="auto" w:fill="F9FD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BEA" w:themeFill="accent6" w:themeFillTint="33"/>
      </w:tcPr>
    </w:tblStylePr>
    <w:tblStylePr w:type="band1Vert">
      <w:tblPr/>
      <w:tcPr>
        <w:shd w:val="clear" w:color="auto" w:fill="E1F5CC" w:themeFill="accent6" w:themeFillTint="7F"/>
      </w:tcPr>
    </w:tblStylePr>
    <w:tblStylePr w:type="band1Horz">
      <w:tblPr/>
      <w:tcPr>
        <w:tcBorders>
          <w:insideH w:val="single" w:sz="6" w:space="0" w:color="C4EC9A" w:themeColor="accent6"/>
          <w:insideV w:val="single" w:sz="6" w:space="0" w:color="C4EC9A" w:themeColor="accent6"/>
        </w:tcBorders>
        <w:shd w:val="clear" w:color="auto" w:fill="E1F5C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D1D8"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A4B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A4B0" w:themeFill="accent1" w:themeFillTint="7F"/>
      </w:tcPr>
    </w:tblStylePr>
  </w:style>
  <w:style w:type="table" w:styleId="MediumGrid3-Accent2">
    <w:name w:val="Medium Grid 3 Accent 2"/>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EDB"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FC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FC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FC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FC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D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DB7" w:themeFill="accent2" w:themeFillTint="7F"/>
      </w:tcPr>
    </w:tblStylePr>
  </w:style>
  <w:style w:type="table" w:styleId="MediumGrid3-Accent3">
    <w:name w:val="Medium Grid 3 Accent 3"/>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1EC"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C8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C8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C8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C8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E3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E3DA" w:themeFill="accent3" w:themeFillTint="7F"/>
      </w:tcPr>
    </w:tblStylePr>
  </w:style>
  <w:style w:type="table" w:styleId="MediumGrid3-Accent4">
    <w:name w:val="Medium Grid 3 Accent 4"/>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6E9"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9E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9E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9E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9E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E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ED2" w:themeFill="accent4" w:themeFillTint="7F"/>
      </w:tcPr>
    </w:tblStylePr>
  </w:style>
  <w:style w:type="table" w:styleId="MediumGrid3-Accent5">
    <w:name w:val="Medium Grid 3 Accent 5"/>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3FA"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D0E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D0E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D0E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D0E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7F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7F5" w:themeFill="accent5" w:themeFillTint="7F"/>
      </w:tcPr>
    </w:tblStylePr>
  </w:style>
  <w:style w:type="table" w:styleId="MediumGrid3-Accent6">
    <w:name w:val="Medium Grid 3 Accent 6"/>
    <w:basedOn w:val="TableNormal"/>
    <w:uiPriority w:val="69"/>
    <w:rsid w:val="00DD0835"/>
    <w:pPr>
      <w:spacing w:line="240" w:lineRule="atLeast"/>
    </w:pPr>
    <w:rPr>
      <w:rFonts w:eastAsia="MS Mincho"/>
      <w:color w:val="000000" w:themeColor="text2"/>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AE6"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EC9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EC9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EC9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EC9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5C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5CC" w:themeFill="accent6" w:themeFillTint="7F"/>
      </w:tcPr>
    </w:tblStylePr>
  </w:style>
  <w:style w:type="table" w:styleId="MediumList1">
    <w:name w:val="Medium List 1"/>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203136" w:themeColor="accent1"/>
        <w:bottom w:val="single" w:sz="8" w:space="0" w:color="203136"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203136" w:themeColor="accent1"/>
        </w:tcBorders>
      </w:tcPr>
    </w:tblStylePr>
    <w:tblStylePr w:type="lastRow">
      <w:rPr>
        <w:b/>
        <w:bCs/>
        <w:color w:val="000000" w:themeColor="text2"/>
      </w:rPr>
      <w:tblPr/>
      <w:tcPr>
        <w:tcBorders>
          <w:top w:val="single" w:sz="8" w:space="0" w:color="203136" w:themeColor="accent1"/>
          <w:bottom w:val="single" w:sz="8" w:space="0" w:color="203136" w:themeColor="accent1"/>
        </w:tcBorders>
      </w:tcPr>
    </w:tblStylePr>
    <w:tblStylePr w:type="firstCol">
      <w:rPr>
        <w:b/>
        <w:bCs/>
      </w:rPr>
    </w:tblStylePr>
    <w:tblStylePr w:type="lastCol">
      <w:rPr>
        <w:b/>
        <w:bCs/>
      </w:rPr>
      <w:tblPr/>
      <w:tcPr>
        <w:tcBorders>
          <w:top w:val="single" w:sz="8" w:space="0" w:color="203136" w:themeColor="accent1"/>
          <w:bottom w:val="single" w:sz="8" w:space="0" w:color="203136" w:themeColor="accent1"/>
        </w:tcBorders>
      </w:tcPr>
    </w:tblStylePr>
    <w:tblStylePr w:type="band1Vert">
      <w:tblPr/>
      <w:tcPr>
        <w:shd w:val="clear" w:color="auto" w:fill="BDD1D8" w:themeFill="accent1" w:themeFillTint="3F"/>
      </w:tcPr>
    </w:tblStylePr>
    <w:tblStylePr w:type="band1Horz">
      <w:tblPr/>
      <w:tcPr>
        <w:shd w:val="clear" w:color="auto" w:fill="BDD1D8" w:themeFill="accent1" w:themeFillTint="3F"/>
      </w:tcPr>
    </w:tblStylePr>
  </w:style>
  <w:style w:type="table" w:styleId="MediumList1-Accent2">
    <w:name w:val="Medium List 1 Accent 2"/>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DDFC70" w:themeColor="accent2"/>
        <w:bottom w:val="single" w:sz="8" w:space="0" w:color="DDFC70"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DFC70" w:themeColor="accent2"/>
        </w:tcBorders>
      </w:tcPr>
    </w:tblStylePr>
    <w:tblStylePr w:type="lastRow">
      <w:rPr>
        <w:b/>
        <w:bCs/>
        <w:color w:val="000000" w:themeColor="text2"/>
      </w:rPr>
      <w:tblPr/>
      <w:tcPr>
        <w:tcBorders>
          <w:top w:val="single" w:sz="8" w:space="0" w:color="DDFC70" w:themeColor="accent2"/>
          <w:bottom w:val="single" w:sz="8" w:space="0" w:color="DDFC70" w:themeColor="accent2"/>
        </w:tcBorders>
      </w:tcPr>
    </w:tblStylePr>
    <w:tblStylePr w:type="firstCol">
      <w:rPr>
        <w:b/>
        <w:bCs/>
      </w:rPr>
    </w:tblStylePr>
    <w:tblStylePr w:type="lastCol">
      <w:rPr>
        <w:b/>
        <w:bCs/>
      </w:rPr>
      <w:tblPr/>
      <w:tcPr>
        <w:tcBorders>
          <w:top w:val="single" w:sz="8" w:space="0" w:color="DDFC70" w:themeColor="accent2"/>
          <w:bottom w:val="single" w:sz="8" w:space="0" w:color="DDFC70" w:themeColor="accent2"/>
        </w:tcBorders>
      </w:tcPr>
    </w:tblStylePr>
    <w:tblStylePr w:type="band1Vert">
      <w:tblPr/>
      <w:tcPr>
        <w:shd w:val="clear" w:color="auto" w:fill="F6FEDB" w:themeFill="accent2" w:themeFillTint="3F"/>
      </w:tcPr>
    </w:tblStylePr>
    <w:tblStylePr w:type="band1Horz">
      <w:tblPr/>
      <w:tcPr>
        <w:shd w:val="clear" w:color="auto" w:fill="F6FEDB" w:themeFill="accent2" w:themeFillTint="3F"/>
      </w:tcPr>
    </w:tblStylePr>
  </w:style>
  <w:style w:type="table" w:styleId="MediumList1-Accent3">
    <w:name w:val="Medium List 1 Accent 3"/>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D5C8B6" w:themeColor="accent3"/>
        <w:bottom w:val="single" w:sz="8" w:space="0" w:color="D5C8B6"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5C8B6" w:themeColor="accent3"/>
        </w:tcBorders>
      </w:tcPr>
    </w:tblStylePr>
    <w:tblStylePr w:type="lastRow">
      <w:rPr>
        <w:b/>
        <w:bCs/>
        <w:color w:val="000000" w:themeColor="text2"/>
      </w:rPr>
      <w:tblPr/>
      <w:tcPr>
        <w:tcBorders>
          <w:top w:val="single" w:sz="8" w:space="0" w:color="D5C8B6" w:themeColor="accent3"/>
          <w:bottom w:val="single" w:sz="8" w:space="0" w:color="D5C8B6" w:themeColor="accent3"/>
        </w:tcBorders>
      </w:tcPr>
    </w:tblStylePr>
    <w:tblStylePr w:type="firstCol">
      <w:rPr>
        <w:b/>
        <w:bCs/>
      </w:rPr>
    </w:tblStylePr>
    <w:tblStylePr w:type="lastCol">
      <w:rPr>
        <w:b/>
        <w:bCs/>
      </w:rPr>
      <w:tblPr/>
      <w:tcPr>
        <w:tcBorders>
          <w:top w:val="single" w:sz="8" w:space="0" w:color="D5C8B6" w:themeColor="accent3"/>
          <w:bottom w:val="single" w:sz="8" w:space="0" w:color="D5C8B6" w:themeColor="accent3"/>
        </w:tcBorders>
      </w:tcPr>
    </w:tblStylePr>
    <w:tblStylePr w:type="band1Vert">
      <w:tblPr/>
      <w:tcPr>
        <w:shd w:val="clear" w:color="auto" w:fill="F4F1EC" w:themeFill="accent3" w:themeFillTint="3F"/>
      </w:tcPr>
    </w:tblStylePr>
    <w:tblStylePr w:type="band1Horz">
      <w:tblPr/>
      <w:tcPr>
        <w:shd w:val="clear" w:color="auto" w:fill="F4F1EC" w:themeFill="accent3" w:themeFillTint="3F"/>
      </w:tcPr>
    </w:tblStylePr>
  </w:style>
  <w:style w:type="table" w:styleId="MediumList1-Accent4">
    <w:name w:val="Medium List 1 Accent 4"/>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889EA6" w:themeColor="accent4"/>
        <w:bottom w:val="single" w:sz="8" w:space="0" w:color="889EA6"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89EA6" w:themeColor="accent4"/>
        </w:tcBorders>
      </w:tcPr>
    </w:tblStylePr>
    <w:tblStylePr w:type="lastRow">
      <w:rPr>
        <w:b/>
        <w:bCs/>
        <w:color w:val="000000" w:themeColor="text2"/>
      </w:rPr>
      <w:tblPr/>
      <w:tcPr>
        <w:tcBorders>
          <w:top w:val="single" w:sz="8" w:space="0" w:color="889EA6" w:themeColor="accent4"/>
          <w:bottom w:val="single" w:sz="8" w:space="0" w:color="889EA6" w:themeColor="accent4"/>
        </w:tcBorders>
      </w:tcPr>
    </w:tblStylePr>
    <w:tblStylePr w:type="firstCol">
      <w:rPr>
        <w:b/>
        <w:bCs/>
      </w:rPr>
    </w:tblStylePr>
    <w:tblStylePr w:type="lastCol">
      <w:rPr>
        <w:b/>
        <w:bCs/>
      </w:rPr>
      <w:tblPr/>
      <w:tcPr>
        <w:tcBorders>
          <w:top w:val="single" w:sz="8" w:space="0" w:color="889EA6" w:themeColor="accent4"/>
          <w:bottom w:val="single" w:sz="8" w:space="0" w:color="889EA6" w:themeColor="accent4"/>
        </w:tcBorders>
      </w:tcPr>
    </w:tblStylePr>
    <w:tblStylePr w:type="band1Vert">
      <w:tblPr/>
      <w:tcPr>
        <w:shd w:val="clear" w:color="auto" w:fill="E1E6E9" w:themeFill="accent4" w:themeFillTint="3F"/>
      </w:tcPr>
    </w:tblStylePr>
    <w:tblStylePr w:type="band1Horz">
      <w:tblPr/>
      <w:tcPr>
        <w:shd w:val="clear" w:color="auto" w:fill="E1E6E9" w:themeFill="accent4" w:themeFillTint="3F"/>
      </w:tcPr>
    </w:tblStylePr>
  </w:style>
  <w:style w:type="table" w:styleId="MediumList1-Accent5">
    <w:name w:val="Medium List 1 Accent 5"/>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B8D0EC" w:themeColor="accent5"/>
        <w:bottom w:val="single" w:sz="8" w:space="0" w:color="B8D0EC"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B8D0EC" w:themeColor="accent5"/>
        </w:tcBorders>
      </w:tcPr>
    </w:tblStylePr>
    <w:tblStylePr w:type="lastRow">
      <w:rPr>
        <w:b/>
        <w:bCs/>
        <w:color w:val="000000" w:themeColor="text2"/>
      </w:rPr>
      <w:tblPr/>
      <w:tcPr>
        <w:tcBorders>
          <w:top w:val="single" w:sz="8" w:space="0" w:color="B8D0EC" w:themeColor="accent5"/>
          <w:bottom w:val="single" w:sz="8" w:space="0" w:color="B8D0EC" w:themeColor="accent5"/>
        </w:tcBorders>
      </w:tcPr>
    </w:tblStylePr>
    <w:tblStylePr w:type="firstCol">
      <w:rPr>
        <w:b/>
        <w:bCs/>
      </w:rPr>
    </w:tblStylePr>
    <w:tblStylePr w:type="lastCol">
      <w:rPr>
        <w:b/>
        <w:bCs/>
      </w:rPr>
      <w:tblPr/>
      <w:tcPr>
        <w:tcBorders>
          <w:top w:val="single" w:sz="8" w:space="0" w:color="B8D0EC" w:themeColor="accent5"/>
          <w:bottom w:val="single" w:sz="8" w:space="0" w:color="B8D0EC" w:themeColor="accent5"/>
        </w:tcBorders>
      </w:tcPr>
    </w:tblStylePr>
    <w:tblStylePr w:type="band1Vert">
      <w:tblPr/>
      <w:tcPr>
        <w:shd w:val="clear" w:color="auto" w:fill="EDF3FA" w:themeFill="accent5" w:themeFillTint="3F"/>
      </w:tcPr>
    </w:tblStylePr>
    <w:tblStylePr w:type="band1Horz">
      <w:tblPr/>
      <w:tcPr>
        <w:shd w:val="clear" w:color="auto" w:fill="EDF3FA" w:themeFill="accent5" w:themeFillTint="3F"/>
      </w:tcPr>
    </w:tblStylePr>
  </w:style>
  <w:style w:type="table" w:styleId="MediumList1-Accent6">
    <w:name w:val="Medium List 1 Accent 6"/>
    <w:basedOn w:val="TableNormal"/>
    <w:uiPriority w:val="65"/>
    <w:rsid w:val="00DD0835"/>
    <w:pPr>
      <w:spacing w:line="240" w:lineRule="atLeast"/>
    </w:pPr>
    <w:rPr>
      <w:rFonts w:eastAsia="MS Mincho"/>
      <w:color w:val="000000" w:themeColor="text1"/>
      <w:sz w:val="18"/>
      <w:szCs w:val="18"/>
    </w:rPr>
    <w:tblPr>
      <w:tblStyleRowBandSize w:val="1"/>
      <w:tblStyleColBandSize w:val="1"/>
      <w:tblBorders>
        <w:top w:val="single" w:sz="8" w:space="0" w:color="C4EC9A" w:themeColor="accent6"/>
        <w:bottom w:val="single" w:sz="8" w:space="0" w:color="C4EC9A"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C4EC9A" w:themeColor="accent6"/>
        </w:tcBorders>
      </w:tcPr>
    </w:tblStylePr>
    <w:tblStylePr w:type="lastRow">
      <w:rPr>
        <w:b/>
        <w:bCs/>
        <w:color w:val="000000" w:themeColor="text2"/>
      </w:rPr>
      <w:tblPr/>
      <w:tcPr>
        <w:tcBorders>
          <w:top w:val="single" w:sz="8" w:space="0" w:color="C4EC9A" w:themeColor="accent6"/>
          <w:bottom w:val="single" w:sz="8" w:space="0" w:color="C4EC9A" w:themeColor="accent6"/>
        </w:tcBorders>
      </w:tcPr>
    </w:tblStylePr>
    <w:tblStylePr w:type="firstCol">
      <w:rPr>
        <w:b/>
        <w:bCs/>
      </w:rPr>
    </w:tblStylePr>
    <w:tblStylePr w:type="lastCol">
      <w:rPr>
        <w:b/>
        <w:bCs/>
      </w:rPr>
      <w:tblPr/>
      <w:tcPr>
        <w:tcBorders>
          <w:top w:val="single" w:sz="8" w:space="0" w:color="C4EC9A" w:themeColor="accent6"/>
          <w:bottom w:val="single" w:sz="8" w:space="0" w:color="C4EC9A" w:themeColor="accent6"/>
        </w:tcBorders>
      </w:tcPr>
    </w:tblStylePr>
    <w:tblStylePr w:type="band1Vert">
      <w:tblPr/>
      <w:tcPr>
        <w:shd w:val="clear" w:color="auto" w:fill="F0FAE6" w:themeFill="accent6" w:themeFillTint="3F"/>
      </w:tcPr>
    </w:tblStylePr>
    <w:tblStylePr w:type="band1Horz">
      <w:tblPr/>
      <w:tcPr>
        <w:shd w:val="clear" w:color="auto" w:fill="F0FAE6" w:themeFill="accent6" w:themeFillTint="3F"/>
      </w:tcPr>
    </w:tblStylePr>
  </w:style>
  <w:style w:type="table" w:styleId="MediumList2">
    <w:name w:val="Medium List 2"/>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203136" w:themeColor="accent1"/>
        <w:left w:val="single" w:sz="8" w:space="0" w:color="203136" w:themeColor="accent1"/>
        <w:bottom w:val="single" w:sz="8" w:space="0" w:color="203136" w:themeColor="accent1"/>
        <w:right w:val="single" w:sz="8" w:space="0" w:color="203136"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203136" w:themeColor="accent1"/>
          <w:right w:val="nil"/>
          <w:insideH w:val="nil"/>
          <w:insideV w:val="nil"/>
        </w:tcBorders>
        <w:shd w:val="clear" w:color="auto" w:fill="FFFFFF" w:themeFill="background1"/>
      </w:tcPr>
    </w:tblStylePr>
    <w:tblStylePr w:type="lastRow">
      <w:tblPr/>
      <w:tcPr>
        <w:tcBorders>
          <w:top w:val="single" w:sz="8" w:space="0" w:color="20313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36" w:themeColor="accent1"/>
          <w:insideH w:val="nil"/>
          <w:insideV w:val="nil"/>
        </w:tcBorders>
        <w:shd w:val="clear" w:color="auto" w:fill="FFFFFF" w:themeFill="background1"/>
      </w:tcPr>
    </w:tblStylePr>
    <w:tblStylePr w:type="lastCol">
      <w:tblPr/>
      <w:tcPr>
        <w:tcBorders>
          <w:top w:val="nil"/>
          <w:left w:val="single" w:sz="8" w:space="0" w:color="203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D1D8" w:themeFill="accent1" w:themeFillTint="3F"/>
      </w:tcPr>
    </w:tblStylePr>
    <w:tblStylePr w:type="band1Horz">
      <w:tblPr/>
      <w:tcPr>
        <w:tcBorders>
          <w:top w:val="nil"/>
          <w:bottom w:val="nil"/>
          <w:insideH w:val="nil"/>
          <w:insideV w:val="nil"/>
        </w:tcBorders>
        <w:shd w:val="clear" w:color="auto" w:fill="BDD1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DFC70" w:themeColor="accent2"/>
        <w:left w:val="single" w:sz="8" w:space="0" w:color="DDFC70" w:themeColor="accent2"/>
        <w:bottom w:val="single" w:sz="8" w:space="0" w:color="DDFC70" w:themeColor="accent2"/>
        <w:right w:val="single" w:sz="8" w:space="0" w:color="DDFC70"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DFC70" w:themeColor="accent2"/>
          <w:right w:val="nil"/>
          <w:insideH w:val="nil"/>
          <w:insideV w:val="nil"/>
        </w:tcBorders>
        <w:shd w:val="clear" w:color="auto" w:fill="FFFFFF" w:themeFill="background1"/>
      </w:tcPr>
    </w:tblStylePr>
    <w:tblStylePr w:type="lastRow">
      <w:tblPr/>
      <w:tcPr>
        <w:tcBorders>
          <w:top w:val="single" w:sz="8" w:space="0" w:color="DDFC7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FC70" w:themeColor="accent2"/>
          <w:insideH w:val="nil"/>
          <w:insideV w:val="nil"/>
        </w:tcBorders>
        <w:shd w:val="clear" w:color="auto" w:fill="FFFFFF" w:themeFill="background1"/>
      </w:tcPr>
    </w:tblStylePr>
    <w:tblStylePr w:type="lastCol">
      <w:tblPr/>
      <w:tcPr>
        <w:tcBorders>
          <w:top w:val="nil"/>
          <w:left w:val="single" w:sz="8" w:space="0" w:color="DDFC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EDB" w:themeFill="accent2" w:themeFillTint="3F"/>
      </w:tcPr>
    </w:tblStylePr>
    <w:tblStylePr w:type="band1Horz">
      <w:tblPr/>
      <w:tcPr>
        <w:tcBorders>
          <w:top w:val="nil"/>
          <w:bottom w:val="nil"/>
          <w:insideH w:val="nil"/>
          <w:insideV w:val="nil"/>
        </w:tcBorders>
        <w:shd w:val="clear" w:color="auto" w:fill="F6F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D5C8B6" w:themeColor="accent3"/>
        <w:left w:val="single" w:sz="8" w:space="0" w:color="D5C8B6" w:themeColor="accent3"/>
        <w:bottom w:val="single" w:sz="8" w:space="0" w:color="D5C8B6" w:themeColor="accent3"/>
        <w:right w:val="single" w:sz="8" w:space="0" w:color="D5C8B6"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5C8B6" w:themeColor="accent3"/>
          <w:right w:val="nil"/>
          <w:insideH w:val="nil"/>
          <w:insideV w:val="nil"/>
        </w:tcBorders>
        <w:shd w:val="clear" w:color="auto" w:fill="FFFFFF" w:themeFill="background1"/>
      </w:tcPr>
    </w:tblStylePr>
    <w:tblStylePr w:type="lastRow">
      <w:tblPr/>
      <w:tcPr>
        <w:tcBorders>
          <w:top w:val="single" w:sz="8" w:space="0" w:color="D5C8B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C8B6" w:themeColor="accent3"/>
          <w:insideH w:val="nil"/>
          <w:insideV w:val="nil"/>
        </w:tcBorders>
        <w:shd w:val="clear" w:color="auto" w:fill="FFFFFF" w:themeFill="background1"/>
      </w:tcPr>
    </w:tblStylePr>
    <w:tblStylePr w:type="lastCol">
      <w:tblPr/>
      <w:tcPr>
        <w:tcBorders>
          <w:top w:val="nil"/>
          <w:left w:val="single" w:sz="8" w:space="0" w:color="D5C8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1EC" w:themeFill="accent3" w:themeFillTint="3F"/>
      </w:tcPr>
    </w:tblStylePr>
    <w:tblStylePr w:type="band1Horz">
      <w:tblPr/>
      <w:tcPr>
        <w:tcBorders>
          <w:top w:val="nil"/>
          <w:bottom w:val="nil"/>
          <w:insideH w:val="nil"/>
          <w:insideV w:val="nil"/>
        </w:tcBorders>
        <w:shd w:val="clear" w:color="auto" w:fill="F4F1E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889EA6" w:themeColor="accent4"/>
        <w:left w:val="single" w:sz="8" w:space="0" w:color="889EA6" w:themeColor="accent4"/>
        <w:bottom w:val="single" w:sz="8" w:space="0" w:color="889EA6" w:themeColor="accent4"/>
        <w:right w:val="single" w:sz="8" w:space="0" w:color="889EA6"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89EA6" w:themeColor="accent4"/>
          <w:right w:val="nil"/>
          <w:insideH w:val="nil"/>
          <w:insideV w:val="nil"/>
        </w:tcBorders>
        <w:shd w:val="clear" w:color="auto" w:fill="FFFFFF" w:themeFill="background1"/>
      </w:tcPr>
    </w:tblStylePr>
    <w:tblStylePr w:type="lastRow">
      <w:tblPr/>
      <w:tcPr>
        <w:tcBorders>
          <w:top w:val="single" w:sz="8" w:space="0" w:color="889E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9EA6" w:themeColor="accent4"/>
          <w:insideH w:val="nil"/>
          <w:insideV w:val="nil"/>
        </w:tcBorders>
        <w:shd w:val="clear" w:color="auto" w:fill="FFFFFF" w:themeFill="background1"/>
      </w:tcPr>
    </w:tblStylePr>
    <w:tblStylePr w:type="lastCol">
      <w:tblPr/>
      <w:tcPr>
        <w:tcBorders>
          <w:top w:val="nil"/>
          <w:left w:val="single" w:sz="8" w:space="0" w:color="889E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6E9" w:themeFill="accent4" w:themeFillTint="3F"/>
      </w:tcPr>
    </w:tblStylePr>
    <w:tblStylePr w:type="band1Horz">
      <w:tblPr/>
      <w:tcPr>
        <w:tcBorders>
          <w:top w:val="nil"/>
          <w:bottom w:val="nil"/>
          <w:insideH w:val="nil"/>
          <w:insideV w:val="nil"/>
        </w:tcBorders>
        <w:shd w:val="clear" w:color="auto" w:fill="E1E6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B8D0EC" w:themeColor="accent5"/>
        <w:left w:val="single" w:sz="8" w:space="0" w:color="B8D0EC" w:themeColor="accent5"/>
        <w:bottom w:val="single" w:sz="8" w:space="0" w:color="B8D0EC" w:themeColor="accent5"/>
        <w:right w:val="single" w:sz="8" w:space="0" w:color="B8D0EC"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B8D0EC" w:themeColor="accent5"/>
          <w:right w:val="nil"/>
          <w:insideH w:val="nil"/>
          <w:insideV w:val="nil"/>
        </w:tcBorders>
        <w:shd w:val="clear" w:color="auto" w:fill="FFFFFF" w:themeFill="background1"/>
      </w:tcPr>
    </w:tblStylePr>
    <w:tblStylePr w:type="lastRow">
      <w:tblPr/>
      <w:tcPr>
        <w:tcBorders>
          <w:top w:val="single" w:sz="8" w:space="0" w:color="B8D0E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D0EC" w:themeColor="accent5"/>
          <w:insideH w:val="nil"/>
          <w:insideV w:val="nil"/>
        </w:tcBorders>
        <w:shd w:val="clear" w:color="auto" w:fill="FFFFFF" w:themeFill="background1"/>
      </w:tcPr>
    </w:tblStylePr>
    <w:tblStylePr w:type="lastCol">
      <w:tblPr/>
      <w:tcPr>
        <w:tcBorders>
          <w:top w:val="nil"/>
          <w:left w:val="single" w:sz="8" w:space="0" w:color="B8D0E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3FA" w:themeFill="accent5" w:themeFillTint="3F"/>
      </w:tcPr>
    </w:tblStylePr>
    <w:tblStylePr w:type="band1Horz">
      <w:tblPr/>
      <w:tcPr>
        <w:tcBorders>
          <w:top w:val="nil"/>
          <w:bottom w:val="nil"/>
          <w:insideH w:val="nil"/>
          <w:insideV w:val="nil"/>
        </w:tcBorders>
        <w:shd w:val="clear" w:color="auto" w:fill="EDF3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D0835"/>
    <w:pPr>
      <w:spacing w:line="240" w:lineRule="atLeast"/>
    </w:pPr>
    <w:rPr>
      <w:rFonts w:eastAsiaTheme="majorEastAsia" w:cstheme="majorBidi"/>
      <w:color w:val="000000" w:themeColor="text1"/>
      <w:sz w:val="18"/>
      <w:szCs w:val="18"/>
    </w:rPr>
    <w:tblPr>
      <w:tblStyleRowBandSize w:val="1"/>
      <w:tblStyleColBandSize w:val="1"/>
      <w:tblBorders>
        <w:top w:val="single" w:sz="8" w:space="0" w:color="C4EC9A" w:themeColor="accent6"/>
        <w:left w:val="single" w:sz="8" w:space="0" w:color="C4EC9A" w:themeColor="accent6"/>
        <w:bottom w:val="single" w:sz="8" w:space="0" w:color="C4EC9A" w:themeColor="accent6"/>
        <w:right w:val="single" w:sz="8" w:space="0" w:color="C4EC9A"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C4EC9A" w:themeColor="accent6"/>
          <w:right w:val="nil"/>
          <w:insideH w:val="nil"/>
          <w:insideV w:val="nil"/>
        </w:tcBorders>
        <w:shd w:val="clear" w:color="auto" w:fill="FFFFFF" w:themeFill="background1"/>
      </w:tcPr>
    </w:tblStylePr>
    <w:tblStylePr w:type="lastRow">
      <w:tblPr/>
      <w:tcPr>
        <w:tcBorders>
          <w:top w:val="single" w:sz="8" w:space="0" w:color="C4EC9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EC9A" w:themeColor="accent6"/>
          <w:insideH w:val="nil"/>
          <w:insideV w:val="nil"/>
        </w:tcBorders>
        <w:shd w:val="clear" w:color="auto" w:fill="FFFFFF" w:themeFill="background1"/>
      </w:tcPr>
    </w:tblStylePr>
    <w:tblStylePr w:type="lastCol">
      <w:tblPr/>
      <w:tcPr>
        <w:tcBorders>
          <w:top w:val="nil"/>
          <w:left w:val="single" w:sz="8" w:space="0" w:color="C4EC9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AE6" w:themeFill="accent6" w:themeFillTint="3F"/>
      </w:tcPr>
    </w:tblStylePr>
    <w:tblStylePr w:type="band1Horz">
      <w:tblPr/>
      <w:tcPr>
        <w:tcBorders>
          <w:top w:val="nil"/>
          <w:bottom w:val="nil"/>
          <w:insideH w:val="nil"/>
          <w:insideV w:val="nil"/>
        </w:tcBorders>
        <w:shd w:val="clear" w:color="auto" w:fill="F0FA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single" w:sz="8" w:space="0" w:color="476D78"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nil"/>
          <w:insideV w:val="nil"/>
        </w:tcBorders>
        <w:shd w:val="clear" w:color="auto" w:fill="203136" w:themeFill="accent1"/>
      </w:tcPr>
    </w:tblStylePr>
    <w:tblStylePr w:type="lastRow">
      <w:pPr>
        <w:spacing w:before="0" w:after="0" w:line="240" w:lineRule="auto"/>
      </w:pPr>
      <w:rPr>
        <w:b/>
        <w:bCs/>
      </w:rPr>
      <w:tblPr/>
      <w:tcPr>
        <w:tcBorders>
          <w:top w:val="double" w:sz="6" w:space="0" w:color="476D78" w:themeColor="accent1" w:themeTint="BF"/>
          <w:left w:val="single" w:sz="8" w:space="0" w:color="476D78" w:themeColor="accent1" w:themeTint="BF"/>
          <w:bottom w:val="single" w:sz="8" w:space="0" w:color="476D78" w:themeColor="accent1" w:themeTint="BF"/>
          <w:right w:val="single" w:sz="8" w:space="0" w:color="476D78" w:themeColor="accent1" w:themeTint="BF"/>
          <w:insideH w:val="nil"/>
          <w:insideV w:val="nil"/>
        </w:tcBorders>
      </w:tcPr>
    </w:tblStylePr>
    <w:tblStylePr w:type="firstCol">
      <w:rPr>
        <w:b/>
        <w:bCs/>
      </w:rPr>
    </w:tblStylePr>
    <w:tblStylePr w:type="lastCol">
      <w:rPr>
        <w:b/>
        <w:bCs/>
      </w:rPr>
    </w:tblStylePr>
    <w:tblStylePr w:type="band1Vert">
      <w:tblPr/>
      <w:tcPr>
        <w:shd w:val="clear" w:color="auto" w:fill="BDD1D8" w:themeFill="accent1" w:themeFillTint="3F"/>
      </w:tcPr>
    </w:tblStylePr>
    <w:tblStylePr w:type="band1Horz">
      <w:tblPr/>
      <w:tcPr>
        <w:tcBorders>
          <w:insideH w:val="nil"/>
          <w:insideV w:val="nil"/>
        </w:tcBorders>
        <w:shd w:val="clear" w:color="auto" w:fill="BDD1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single" w:sz="8" w:space="0" w:color="E5FC9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nil"/>
          <w:insideV w:val="nil"/>
        </w:tcBorders>
        <w:shd w:val="clear" w:color="auto" w:fill="DDFC70" w:themeFill="accent2"/>
      </w:tcPr>
    </w:tblStylePr>
    <w:tblStylePr w:type="lastRow">
      <w:pPr>
        <w:spacing w:before="0" w:after="0" w:line="240" w:lineRule="auto"/>
      </w:pPr>
      <w:rPr>
        <w:b/>
        <w:bCs/>
      </w:rPr>
      <w:tblPr/>
      <w:tcPr>
        <w:tcBorders>
          <w:top w:val="double" w:sz="6" w:space="0" w:color="E5FC93" w:themeColor="accent2" w:themeTint="BF"/>
          <w:left w:val="single" w:sz="8" w:space="0" w:color="E5FC93" w:themeColor="accent2" w:themeTint="BF"/>
          <w:bottom w:val="single" w:sz="8" w:space="0" w:color="E5FC93" w:themeColor="accent2" w:themeTint="BF"/>
          <w:right w:val="single" w:sz="8" w:space="0" w:color="E5FC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FEDB" w:themeFill="accent2" w:themeFillTint="3F"/>
      </w:tcPr>
    </w:tblStylePr>
    <w:tblStylePr w:type="band1Horz">
      <w:tblPr/>
      <w:tcPr>
        <w:tcBorders>
          <w:insideH w:val="nil"/>
          <w:insideV w:val="nil"/>
        </w:tcBorders>
        <w:shd w:val="clear" w:color="auto" w:fill="F6FE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single" w:sz="8" w:space="0" w:color="DFD5C8"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nil"/>
          <w:insideV w:val="nil"/>
        </w:tcBorders>
        <w:shd w:val="clear" w:color="auto" w:fill="D5C8B6" w:themeFill="accent3"/>
      </w:tcPr>
    </w:tblStylePr>
    <w:tblStylePr w:type="lastRow">
      <w:pPr>
        <w:spacing w:before="0" w:after="0" w:line="240" w:lineRule="auto"/>
      </w:pPr>
      <w:rPr>
        <w:b/>
        <w:bCs/>
      </w:rPr>
      <w:tblPr/>
      <w:tcPr>
        <w:tcBorders>
          <w:top w:val="double" w:sz="6" w:space="0" w:color="DFD5C8" w:themeColor="accent3" w:themeTint="BF"/>
          <w:left w:val="single" w:sz="8" w:space="0" w:color="DFD5C8" w:themeColor="accent3" w:themeTint="BF"/>
          <w:bottom w:val="single" w:sz="8" w:space="0" w:color="DFD5C8" w:themeColor="accent3" w:themeTint="BF"/>
          <w:right w:val="single" w:sz="8" w:space="0" w:color="DFD5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1EC" w:themeFill="accent3" w:themeFillTint="3F"/>
      </w:tcPr>
    </w:tblStylePr>
    <w:tblStylePr w:type="band1Horz">
      <w:tblPr/>
      <w:tcPr>
        <w:tcBorders>
          <w:insideH w:val="nil"/>
          <w:insideV w:val="nil"/>
        </w:tcBorders>
        <w:shd w:val="clear" w:color="auto" w:fill="F4F1E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single" w:sz="8" w:space="0" w:color="A5B6B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nil"/>
          <w:insideV w:val="nil"/>
        </w:tcBorders>
        <w:shd w:val="clear" w:color="auto" w:fill="889EA6" w:themeFill="accent4"/>
      </w:tcPr>
    </w:tblStylePr>
    <w:tblStylePr w:type="lastRow">
      <w:pPr>
        <w:spacing w:before="0" w:after="0" w:line="240" w:lineRule="auto"/>
      </w:pPr>
      <w:rPr>
        <w:b/>
        <w:bCs/>
      </w:rPr>
      <w:tblPr/>
      <w:tcPr>
        <w:tcBorders>
          <w:top w:val="double" w:sz="6" w:space="0" w:color="A5B6BC" w:themeColor="accent4" w:themeTint="BF"/>
          <w:left w:val="single" w:sz="8" w:space="0" w:color="A5B6BC" w:themeColor="accent4" w:themeTint="BF"/>
          <w:bottom w:val="single" w:sz="8" w:space="0" w:color="A5B6BC" w:themeColor="accent4" w:themeTint="BF"/>
          <w:right w:val="single" w:sz="8" w:space="0" w:color="A5B6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1E6E9" w:themeFill="accent4" w:themeFillTint="3F"/>
      </w:tcPr>
    </w:tblStylePr>
    <w:tblStylePr w:type="band1Horz">
      <w:tblPr/>
      <w:tcPr>
        <w:tcBorders>
          <w:insideH w:val="nil"/>
          <w:insideV w:val="nil"/>
        </w:tcBorders>
        <w:shd w:val="clear" w:color="auto" w:fill="E1E6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single" w:sz="8" w:space="0" w:color="C9DBF0"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nil"/>
          <w:insideV w:val="nil"/>
        </w:tcBorders>
        <w:shd w:val="clear" w:color="auto" w:fill="B8D0EC" w:themeFill="accent5"/>
      </w:tcPr>
    </w:tblStylePr>
    <w:tblStylePr w:type="lastRow">
      <w:pPr>
        <w:spacing w:before="0" w:after="0" w:line="240" w:lineRule="auto"/>
      </w:pPr>
      <w:rPr>
        <w:b/>
        <w:bCs/>
      </w:rPr>
      <w:tblPr/>
      <w:tcPr>
        <w:tcBorders>
          <w:top w:val="double" w:sz="6" w:space="0" w:color="C9DBF0" w:themeColor="accent5" w:themeTint="BF"/>
          <w:left w:val="single" w:sz="8" w:space="0" w:color="C9DBF0" w:themeColor="accent5" w:themeTint="BF"/>
          <w:bottom w:val="single" w:sz="8" w:space="0" w:color="C9DBF0" w:themeColor="accent5" w:themeTint="BF"/>
          <w:right w:val="single" w:sz="8" w:space="0" w:color="C9DBF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F3FA" w:themeFill="accent5" w:themeFillTint="3F"/>
      </w:tcPr>
    </w:tblStylePr>
    <w:tblStylePr w:type="band1Horz">
      <w:tblPr/>
      <w:tcPr>
        <w:tcBorders>
          <w:insideH w:val="nil"/>
          <w:insideV w:val="nil"/>
        </w:tcBorders>
        <w:shd w:val="clear" w:color="auto" w:fill="EDF3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D0835"/>
    <w:pPr>
      <w:spacing w:line="240" w:lineRule="atLeast"/>
    </w:pPr>
    <w:rPr>
      <w:rFonts w:eastAsia="MS Mincho"/>
      <w:color w:val="000000" w:themeColor="text2"/>
      <w:sz w:val="18"/>
      <w:szCs w:val="18"/>
    </w:rPr>
    <w:tblPr>
      <w:tblStyleRowBandSize w:val="1"/>
      <w:tblStyleColBandSize w:val="1"/>
      <w:tblBorders>
        <w:top w:val="single" w:sz="8"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single" w:sz="8" w:space="0" w:color="D2F0B3"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nil"/>
          <w:insideV w:val="nil"/>
        </w:tcBorders>
        <w:shd w:val="clear" w:color="auto" w:fill="C4EC9A" w:themeFill="accent6"/>
      </w:tcPr>
    </w:tblStylePr>
    <w:tblStylePr w:type="lastRow">
      <w:pPr>
        <w:spacing w:before="0" w:after="0" w:line="240" w:lineRule="auto"/>
      </w:pPr>
      <w:rPr>
        <w:b/>
        <w:bCs/>
      </w:rPr>
      <w:tblPr/>
      <w:tcPr>
        <w:tcBorders>
          <w:top w:val="double" w:sz="6" w:space="0" w:color="D2F0B3" w:themeColor="accent6" w:themeTint="BF"/>
          <w:left w:val="single" w:sz="8" w:space="0" w:color="D2F0B3" w:themeColor="accent6" w:themeTint="BF"/>
          <w:bottom w:val="single" w:sz="8" w:space="0" w:color="D2F0B3" w:themeColor="accent6" w:themeTint="BF"/>
          <w:right w:val="single" w:sz="8" w:space="0" w:color="D2F0B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AE6" w:themeFill="accent6" w:themeFillTint="3F"/>
      </w:tcPr>
    </w:tblStylePr>
    <w:tblStylePr w:type="band1Horz">
      <w:tblPr/>
      <w:tcPr>
        <w:tcBorders>
          <w:insideH w:val="nil"/>
          <w:insideV w:val="nil"/>
        </w:tcBorders>
        <w:shd w:val="clear" w:color="auto" w:fill="F0FA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03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36" w:themeFill="accent1"/>
      </w:tcPr>
    </w:tblStylePr>
    <w:tblStylePr w:type="lastCol">
      <w:rPr>
        <w:b/>
        <w:bCs/>
        <w:color w:val="FFFFFF" w:themeColor="background1"/>
      </w:rPr>
      <w:tblPr/>
      <w:tcPr>
        <w:tcBorders>
          <w:left w:val="nil"/>
          <w:right w:val="nil"/>
          <w:insideH w:val="nil"/>
          <w:insideV w:val="nil"/>
        </w:tcBorders>
        <w:shd w:val="clear" w:color="auto" w:fill="203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DFC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FC70" w:themeFill="accent2"/>
      </w:tcPr>
    </w:tblStylePr>
    <w:tblStylePr w:type="lastCol">
      <w:rPr>
        <w:b/>
        <w:bCs/>
        <w:color w:val="FFFFFF" w:themeColor="background1"/>
      </w:rPr>
      <w:tblPr/>
      <w:tcPr>
        <w:tcBorders>
          <w:left w:val="nil"/>
          <w:right w:val="nil"/>
          <w:insideH w:val="nil"/>
          <w:insideV w:val="nil"/>
        </w:tcBorders>
        <w:shd w:val="clear" w:color="auto" w:fill="DDFC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5C8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C8B6" w:themeFill="accent3"/>
      </w:tcPr>
    </w:tblStylePr>
    <w:tblStylePr w:type="lastCol">
      <w:rPr>
        <w:b/>
        <w:bCs/>
        <w:color w:val="FFFFFF" w:themeColor="background1"/>
      </w:rPr>
      <w:tblPr/>
      <w:tcPr>
        <w:tcBorders>
          <w:left w:val="nil"/>
          <w:right w:val="nil"/>
          <w:insideH w:val="nil"/>
          <w:insideV w:val="nil"/>
        </w:tcBorders>
        <w:shd w:val="clear" w:color="auto" w:fill="D5C8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9E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9EA6" w:themeFill="accent4"/>
      </w:tcPr>
    </w:tblStylePr>
    <w:tblStylePr w:type="lastCol">
      <w:rPr>
        <w:b/>
        <w:bCs/>
        <w:color w:val="FFFFFF" w:themeColor="background1"/>
      </w:rPr>
      <w:tblPr/>
      <w:tcPr>
        <w:tcBorders>
          <w:left w:val="nil"/>
          <w:right w:val="nil"/>
          <w:insideH w:val="nil"/>
          <w:insideV w:val="nil"/>
        </w:tcBorders>
        <w:shd w:val="clear" w:color="auto" w:fill="889E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8D0E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D0EC" w:themeFill="accent5"/>
      </w:tcPr>
    </w:tblStylePr>
    <w:tblStylePr w:type="lastCol">
      <w:rPr>
        <w:b/>
        <w:bCs/>
        <w:color w:val="FFFFFF" w:themeColor="background1"/>
      </w:rPr>
      <w:tblPr/>
      <w:tcPr>
        <w:tcBorders>
          <w:left w:val="nil"/>
          <w:right w:val="nil"/>
          <w:insideH w:val="nil"/>
          <w:insideV w:val="nil"/>
        </w:tcBorders>
        <w:shd w:val="clear" w:color="auto" w:fill="B8D0E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835"/>
    <w:pPr>
      <w:spacing w:line="240" w:lineRule="atLeast"/>
    </w:pPr>
    <w:rPr>
      <w:rFonts w:eastAsia="MS Mincho"/>
      <w:color w:val="000000" w:themeColor="text2"/>
      <w:sz w:val="18"/>
      <w:szCs w:val="18"/>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4EC9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EC9A" w:themeFill="accent6"/>
      </w:tcPr>
    </w:tblStylePr>
    <w:tblStylePr w:type="lastCol">
      <w:rPr>
        <w:b/>
        <w:bCs/>
        <w:color w:val="FFFFFF" w:themeColor="background1"/>
      </w:rPr>
      <w:tblPr/>
      <w:tcPr>
        <w:tcBorders>
          <w:left w:val="nil"/>
          <w:right w:val="nil"/>
          <w:insideH w:val="nil"/>
          <w:insideV w:val="nil"/>
        </w:tcBorders>
        <w:shd w:val="clear" w:color="auto" w:fill="C4EC9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D083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D0835"/>
    <w:rPr>
      <w:rFonts w:asciiTheme="majorHAnsi" w:eastAsiaTheme="majorEastAsia" w:hAnsiTheme="majorHAnsi" w:cstheme="majorBidi"/>
      <w:shd w:val="pct20" w:color="auto" w:fill="auto"/>
      <w:lang w:val="en-AU"/>
    </w:rPr>
  </w:style>
  <w:style w:type="paragraph" w:styleId="NormalWeb">
    <w:name w:val="Normal (Web)"/>
    <w:basedOn w:val="Normal"/>
    <w:uiPriority w:val="99"/>
    <w:semiHidden/>
    <w:unhideWhenUsed/>
    <w:rsid w:val="00DD0835"/>
    <w:rPr>
      <w:rFonts w:ascii="Times New Roman" w:hAnsi="Times New Roman"/>
    </w:rPr>
  </w:style>
  <w:style w:type="paragraph" w:styleId="NormalIndent">
    <w:name w:val="Normal Indent"/>
    <w:basedOn w:val="Normal"/>
    <w:uiPriority w:val="99"/>
    <w:semiHidden/>
    <w:unhideWhenUsed/>
    <w:rsid w:val="00DD0835"/>
    <w:pPr>
      <w:ind w:left="720"/>
    </w:pPr>
  </w:style>
  <w:style w:type="paragraph" w:styleId="NoteHeading">
    <w:name w:val="Note Heading"/>
    <w:basedOn w:val="Normal"/>
    <w:next w:val="Normal"/>
    <w:link w:val="NoteHeadingChar"/>
    <w:uiPriority w:val="99"/>
    <w:semiHidden/>
    <w:unhideWhenUsed/>
    <w:rsid w:val="00DD0835"/>
  </w:style>
  <w:style w:type="character" w:customStyle="1" w:styleId="NoteHeadingChar">
    <w:name w:val="Note Heading Char"/>
    <w:basedOn w:val="DefaultParagraphFont"/>
    <w:link w:val="NoteHeading"/>
    <w:uiPriority w:val="99"/>
    <w:semiHidden/>
    <w:rsid w:val="00DD0835"/>
    <w:rPr>
      <w:lang w:val="en-AU"/>
    </w:rPr>
  </w:style>
  <w:style w:type="paragraph" w:styleId="PlainText">
    <w:name w:val="Plain Text"/>
    <w:basedOn w:val="Normal"/>
    <w:link w:val="PlainTextChar"/>
    <w:uiPriority w:val="99"/>
    <w:semiHidden/>
    <w:unhideWhenUsed/>
    <w:rsid w:val="00DD0835"/>
    <w:rPr>
      <w:rFonts w:ascii="Consolas" w:hAnsi="Consolas" w:cs="Consolas"/>
      <w:sz w:val="21"/>
      <w:szCs w:val="21"/>
    </w:rPr>
  </w:style>
  <w:style w:type="character" w:customStyle="1" w:styleId="PlainTextChar">
    <w:name w:val="Plain Text Char"/>
    <w:basedOn w:val="DefaultParagraphFont"/>
    <w:link w:val="PlainText"/>
    <w:uiPriority w:val="99"/>
    <w:semiHidden/>
    <w:rsid w:val="00DD0835"/>
    <w:rPr>
      <w:rFonts w:ascii="Consolas" w:hAnsi="Consolas" w:cs="Consolas"/>
      <w:sz w:val="21"/>
      <w:szCs w:val="21"/>
      <w:lang w:val="en-AU"/>
    </w:rPr>
  </w:style>
  <w:style w:type="character" w:customStyle="1" w:styleId="FooterChar">
    <w:name w:val="Footer Char"/>
    <w:link w:val="Footer"/>
    <w:uiPriority w:val="99"/>
    <w:rsid w:val="00DD0835"/>
    <w:rPr>
      <w:rFonts w:eastAsiaTheme="minorEastAsia" w:cs="Arial"/>
      <w:color w:val="203136" w:themeColor="accent1"/>
      <w:sz w:val="16"/>
      <w:szCs w:val="14"/>
      <w:lang w:val="en-AU" w:eastAsia="x-none" w:bidi="he-IL"/>
    </w:rPr>
  </w:style>
  <w:style w:type="paragraph" w:styleId="Salutation">
    <w:name w:val="Salutation"/>
    <w:basedOn w:val="Normal"/>
    <w:next w:val="Normal"/>
    <w:link w:val="SalutationChar"/>
    <w:uiPriority w:val="99"/>
    <w:semiHidden/>
    <w:unhideWhenUsed/>
    <w:rsid w:val="00DD0835"/>
  </w:style>
  <w:style w:type="character" w:customStyle="1" w:styleId="SalutationChar">
    <w:name w:val="Salutation Char"/>
    <w:basedOn w:val="DefaultParagraphFont"/>
    <w:link w:val="Salutation"/>
    <w:uiPriority w:val="99"/>
    <w:semiHidden/>
    <w:rsid w:val="00DD0835"/>
    <w:rPr>
      <w:lang w:val="en-AU"/>
    </w:rPr>
  </w:style>
  <w:style w:type="paragraph" w:styleId="Signature">
    <w:name w:val="Signature"/>
    <w:basedOn w:val="Normal"/>
    <w:link w:val="SignatureChar"/>
    <w:uiPriority w:val="99"/>
    <w:semiHidden/>
    <w:unhideWhenUsed/>
    <w:rsid w:val="00DD0835"/>
    <w:pPr>
      <w:ind w:left="4252"/>
    </w:pPr>
  </w:style>
  <w:style w:type="character" w:customStyle="1" w:styleId="SignatureChar">
    <w:name w:val="Signature Char"/>
    <w:basedOn w:val="DefaultParagraphFont"/>
    <w:link w:val="Signature"/>
    <w:uiPriority w:val="99"/>
    <w:semiHidden/>
    <w:rsid w:val="00DD0835"/>
    <w:rPr>
      <w:lang w:val="en-AU"/>
    </w:rPr>
  </w:style>
  <w:style w:type="character" w:styleId="SubtleEmphasis">
    <w:name w:val="Subtle Emphasis"/>
    <w:basedOn w:val="DefaultParagraphFont"/>
    <w:uiPriority w:val="19"/>
    <w:semiHidden/>
    <w:qFormat/>
    <w:rsid w:val="00DD0835"/>
    <w:rPr>
      <w:i/>
      <w:iCs/>
      <w:color w:val="808080" w:themeColor="text1" w:themeTint="7F"/>
    </w:rPr>
  </w:style>
  <w:style w:type="character" w:styleId="SubtleReference">
    <w:name w:val="Subtle Reference"/>
    <w:basedOn w:val="DefaultParagraphFont"/>
    <w:uiPriority w:val="31"/>
    <w:semiHidden/>
    <w:qFormat/>
    <w:rsid w:val="00DD0835"/>
    <w:rPr>
      <w:smallCaps/>
      <w:color w:val="DDFC70" w:themeColor="accent2"/>
      <w:u w:val="single"/>
    </w:rPr>
  </w:style>
  <w:style w:type="table" w:styleId="Table3Deffects1">
    <w:name w:val="Table 3D effects 1"/>
    <w:basedOn w:val="TableNormal"/>
    <w:uiPriority w:val="99"/>
    <w:unhideWhenUsed/>
    <w:rsid w:val="00DD0835"/>
    <w:pPr>
      <w:adjustRightInd w:val="0"/>
      <w:snapToGrid w:val="0"/>
      <w:spacing w:line="240" w:lineRule="atLeast"/>
    </w:pPr>
    <w:rPr>
      <w:rFonts w:eastAsia="MS Mincho"/>
      <w:color w:val="000000" w:themeColor="text2"/>
      <w:sz w:val="18"/>
      <w:szCs w:val="18"/>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DD0835"/>
    <w:pPr>
      <w:adjustRightInd w:val="0"/>
      <w:snapToGrid w:val="0"/>
      <w:spacing w:line="240" w:lineRule="atLeast"/>
    </w:pPr>
    <w:rPr>
      <w:rFonts w:eastAsia="MS Mincho"/>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DD0835"/>
    <w:pPr>
      <w:adjustRightInd w:val="0"/>
      <w:snapToGrid w:val="0"/>
      <w:spacing w:line="240" w:lineRule="atLeast"/>
    </w:pPr>
    <w:rPr>
      <w:rFonts w:eastAsia="MS Mincho"/>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DD0835"/>
    <w:pPr>
      <w:adjustRightInd w:val="0"/>
      <w:snapToGrid w:val="0"/>
      <w:spacing w:line="240" w:lineRule="atLeast"/>
    </w:pPr>
    <w:rPr>
      <w:rFonts w:eastAsia="MS Mincho"/>
      <w:color w:val="000000" w:themeColor="text2"/>
      <w:sz w:val="18"/>
      <w:szCs w:val="18"/>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DD0835"/>
    <w:pPr>
      <w:adjustRightInd w:val="0"/>
      <w:snapToGrid w:val="0"/>
      <w:spacing w:line="240" w:lineRule="atLeast"/>
    </w:pPr>
    <w:rPr>
      <w:rFonts w:eastAsia="MS Mincho"/>
      <w:color w:val="000000" w:themeColor="text2"/>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DD0835"/>
    <w:pPr>
      <w:adjustRightInd w:val="0"/>
      <w:snapToGrid w:val="0"/>
      <w:spacing w:line="240" w:lineRule="atLeast"/>
    </w:pPr>
    <w:rPr>
      <w:rFonts w:eastAsia="MS Mincho"/>
      <w:b/>
      <w:bCs/>
      <w:color w:val="000000" w:themeColor="text2"/>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
    <w:rsid w:val="00DD0835"/>
    <w:pPr>
      <w:ind w:left="220" w:hanging="220"/>
    </w:pPr>
  </w:style>
  <w:style w:type="paragraph" w:styleId="TableofFigures">
    <w:name w:val="table of figures"/>
    <w:basedOn w:val="TOC1"/>
    <w:next w:val="Normal"/>
    <w:uiPriority w:val="99"/>
    <w:rsid w:val="00DD0835"/>
    <w:rPr>
      <w:rFonts w:eastAsia="MS Mincho"/>
    </w:rPr>
  </w:style>
  <w:style w:type="table" w:styleId="TableProfessional">
    <w:name w:val="Table Professional"/>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D0835"/>
    <w:pPr>
      <w:adjustRightInd w:val="0"/>
      <w:snapToGrid w:val="0"/>
      <w:spacing w:line="240" w:lineRule="atLeast"/>
    </w:pPr>
    <w:rPr>
      <w:rFonts w:eastAsia="MS Mincho"/>
      <w:color w:val="000000" w:themeColor="text2"/>
      <w:sz w:val="18"/>
      <w:szCs w:val="18"/>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D0835"/>
    <w:pPr>
      <w:adjustRightInd w:val="0"/>
      <w:snapToGrid w:val="0"/>
      <w:spacing w:line="240" w:lineRule="atLeast"/>
    </w:pPr>
    <w:rPr>
      <w:rFonts w:eastAsia="MS Mincho"/>
      <w:color w:val="000000" w:themeColor="text2"/>
      <w:sz w:val="18"/>
      <w:szCs w:val="18"/>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D0835"/>
    <w:pPr>
      <w:adjustRightInd w:val="0"/>
      <w:snapToGrid w:val="0"/>
      <w:spacing w:line="240" w:lineRule="atLeast"/>
    </w:pPr>
    <w:rPr>
      <w:rFonts w:eastAsia="MS Mincho"/>
      <w:color w:val="000000" w:themeColor="text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unhideWhenUsed/>
    <w:rsid w:val="00DD0835"/>
    <w:pPr>
      <w:adjustRightInd w:val="0"/>
      <w:snapToGrid w:val="0"/>
      <w:spacing w:line="240" w:lineRule="atLeast"/>
    </w:pPr>
    <w:rPr>
      <w:rFonts w:eastAsia="MS Mincho"/>
      <w:color w:val="000000" w:themeColor="text2"/>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unhideWhenUsed/>
    <w:rsid w:val="00DD0835"/>
    <w:pPr>
      <w:adjustRightInd w:val="0"/>
      <w:snapToGrid w:val="0"/>
      <w:spacing w:line="240" w:lineRule="atLeast"/>
    </w:pPr>
    <w:rPr>
      <w:rFonts w:eastAsia="MS Mincho"/>
      <w:color w:val="000000" w:themeColor="text2"/>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unhideWhenUsed/>
    <w:rsid w:val="00DD0835"/>
    <w:pPr>
      <w:adjustRightInd w:val="0"/>
      <w:snapToGrid w:val="0"/>
      <w:spacing w:line="240" w:lineRule="atLeast"/>
    </w:pPr>
    <w:rPr>
      <w:rFonts w:eastAsia="MS Mincho"/>
      <w:color w:val="000000" w:themeColor="text2"/>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D0835"/>
    <w:rPr>
      <w:rFonts w:asciiTheme="majorHAnsi" w:eastAsiaTheme="majorEastAsia" w:hAnsiTheme="majorHAnsi" w:cstheme="majorBidi"/>
      <w:b/>
      <w:bCs/>
    </w:rPr>
  </w:style>
  <w:style w:type="paragraph" w:styleId="TOC5">
    <w:name w:val="toc 5"/>
    <w:basedOn w:val="Normal"/>
    <w:next w:val="Normal"/>
    <w:autoRedefine/>
    <w:uiPriority w:val="39"/>
    <w:semiHidden/>
    <w:rsid w:val="00DD0835"/>
    <w:pPr>
      <w:spacing w:after="100"/>
      <w:ind w:left="880"/>
    </w:pPr>
  </w:style>
  <w:style w:type="paragraph" w:styleId="TOC6">
    <w:name w:val="toc 6"/>
    <w:basedOn w:val="Normal"/>
    <w:next w:val="Normal"/>
    <w:autoRedefine/>
    <w:uiPriority w:val="39"/>
    <w:semiHidden/>
    <w:rsid w:val="00DD0835"/>
    <w:pPr>
      <w:spacing w:after="100"/>
      <w:ind w:left="1100"/>
    </w:pPr>
  </w:style>
  <w:style w:type="paragraph" w:styleId="TOC7">
    <w:name w:val="toc 7"/>
    <w:basedOn w:val="Normal"/>
    <w:next w:val="Normal"/>
    <w:autoRedefine/>
    <w:uiPriority w:val="39"/>
    <w:semiHidden/>
    <w:rsid w:val="00DD0835"/>
    <w:pPr>
      <w:spacing w:after="100"/>
      <w:ind w:left="1320"/>
    </w:pPr>
  </w:style>
  <w:style w:type="paragraph" w:styleId="TOC8">
    <w:name w:val="toc 8"/>
    <w:basedOn w:val="Normal"/>
    <w:next w:val="Normal"/>
    <w:autoRedefine/>
    <w:uiPriority w:val="39"/>
    <w:semiHidden/>
    <w:unhideWhenUsed/>
    <w:rsid w:val="00DD0835"/>
    <w:pPr>
      <w:spacing w:after="100"/>
      <w:ind w:left="1540"/>
    </w:pPr>
  </w:style>
  <w:style w:type="paragraph" w:styleId="TOC9">
    <w:name w:val="toc 9"/>
    <w:basedOn w:val="Normal"/>
    <w:next w:val="Normal"/>
    <w:autoRedefine/>
    <w:uiPriority w:val="39"/>
    <w:semiHidden/>
    <w:unhideWhenUsed/>
    <w:rsid w:val="00DD0835"/>
    <w:pPr>
      <w:spacing w:after="100"/>
      <w:ind w:left="1760"/>
    </w:pPr>
  </w:style>
  <w:style w:type="paragraph" w:styleId="TOCHeading">
    <w:name w:val="TOC Heading"/>
    <w:basedOn w:val="Normal"/>
    <w:next w:val="Normal"/>
    <w:uiPriority w:val="9"/>
    <w:qFormat/>
    <w:rsid w:val="0008226B"/>
    <w:pPr>
      <w:spacing w:before="0" w:after="680" w:line="400" w:lineRule="atLeast"/>
    </w:pPr>
    <w:rPr>
      <w:rFonts w:asciiTheme="majorHAnsi" w:hAnsiTheme="majorHAnsi"/>
      <w:color w:val="D5C8B6" w:themeColor="accent3"/>
      <w:sz w:val="36"/>
    </w:rPr>
  </w:style>
  <w:style w:type="table" w:customStyle="1" w:styleId="LayoutGrid">
    <w:name w:val="Layout Grid"/>
    <w:basedOn w:val="TableNormal"/>
    <w:uiPriority w:val="99"/>
    <w:rsid w:val="00DD0835"/>
    <w:tblPr>
      <w:tblCellMar>
        <w:left w:w="0" w:type="dxa"/>
        <w:right w:w="0" w:type="dxa"/>
      </w:tblCellMar>
    </w:tblPr>
  </w:style>
  <w:style w:type="character" w:customStyle="1" w:styleId="HeaderChar">
    <w:name w:val="Header Char"/>
    <w:link w:val="Header"/>
    <w:uiPriority w:val="99"/>
    <w:rsid w:val="00DD0835"/>
    <w:rPr>
      <w:rFonts w:eastAsiaTheme="minorEastAsia" w:cs="Arial"/>
      <w:sz w:val="16"/>
      <w:szCs w:val="16"/>
      <w:lang w:val="en-AU" w:eastAsia="x-none" w:bidi="he-IL"/>
    </w:rPr>
  </w:style>
  <w:style w:type="paragraph" w:styleId="TOC2">
    <w:name w:val="toc 2"/>
    <w:basedOn w:val="Normal"/>
    <w:next w:val="Normal"/>
    <w:uiPriority w:val="39"/>
    <w:rsid w:val="00374559"/>
    <w:pPr>
      <w:tabs>
        <w:tab w:val="left" w:pos="9497"/>
      </w:tabs>
      <w:spacing w:line="240" w:lineRule="atLeast"/>
      <w:ind w:left="1134" w:hanging="567"/>
    </w:pPr>
    <w:rPr>
      <w:bCs/>
      <w:noProof/>
      <w:color w:val="000000" w:themeColor="text1"/>
    </w:rPr>
  </w:style>
  <w:style w:type="paragraph" w:styleId="TOC3">
    <w:name w:val="toc 3"/>
    <w:basedOn w:val="Normal"/>
    <w:next w:val="Normal"/>
    <w:uiPriority w:val="39"/>
    <w:semiHidden/>
    <w:rsid w:val="00DD0835"/>
    <w:pPr>
      <w:tabs>
        <w:tab w:val="right" w:leader="dot" w:pos="7768"/>
      </w:tabs>
      <w:ind w:left="1701" w:hanging="1021"/>
    </w:pPr>
    <w:rPr>
      <w:color w:val="203136" w:themeColor="accent1"/>
      <w:sz w:val="24"/>
    </w:rPr>
  </w:style>
  <w:style w:type="character" w:customStyle="1" w:styleId="Heading4Char">
    <w:name w:val="Heading 4 Char"/>
    <w:basedOn w:val="DefaultParagraphFont"/>
    <w:link w:val="Heading4"/>
    <w:uiPriority w:val="2"/>
    <w:rsid w:val="00DD0835"/>
    <w:rPr>
      <w:rFonts w:asciiTheme="majorHAnsi" w:eastAsiaTheme="majorEastAsia" w:hAnsiTheme="majorHAnsi" w:cstheme="minorHAnsi"/>
      <w:bCs/>
      <w:color w:val="203136" w:themeColor="accent1"/>
      <w:lang w:val="en-AU" w:eastAsia="en-US"/>
    </w:rPr>
  </w:style>
  <w:style w:type="paragraph" w:styleId="TOC4">
    <w:name w:val="toc 4"/>
    <w:basedOn w:val="Normal"/>
    <w:next w:val="Normal"/>
    <w:autoRedefine/>
    <w:uiPriority w:val="39"/>
    <w:semiHidden/>
    <w:rsid w:val="00DD0835"/>
    <w:pPr>
      <w:spacing w:after="100"/>
      <w:ind w:left="660"/>
    </w:pPr>
  </w:style>
  <w:style w:type="table" w:styleId="GridTable5Dark-Accent2">
    <w:name w:val="Grid Table 5 Dark Accent 2"/>
    <w:basedOn w:val="TableNormal"/>
    <w:uiPriority w:val="50"/>
    <w:rsid w:val="00DD0835"/>
    <w:rPr>
      <w:rFonts w:cstheme="minorBidi"/>
      <w:color w:val="000000" w:themeColor="text1"/>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E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FC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FC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FC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FC70" w:themeFill="accent2"/>
      </w:tcPr>
    </w:tblStylePr>
    <w:tblStylePr w:type="band1Vert">
      <w:tblPr/>
      <w:tcPr>
        <w:shd w:val="clear" w:color="auto" w:fill="F1FDC5" w:themeFill="accent2" w:themeFillTint="66"/>
      </w:tcPr>
    </w:tblStylePr>
    <w:tblStylePr w:type="band1Horz">
      <w:tblPr/>
      <w:tcPr>
        <w:shd w:val="clear" w:color="auto" w:fill="F1FDC5" w:themeFill="accent2" w:themeFillTint="66"/>
      </w:tcPr>
    </w:tblStylePr>
  </w:style>
  <w:style w:type="character" w:styleId="UnresolvedMention">
    <w:name w:val="Unresolved Mention"/>
    <w:basedOn w:val="DefaultParagraphFont"/>
    <w:uiPriority w:val="99"/>
    <w:semiHidden/>
    <w:unhideWhenUsed/>
    <w:rsid w:val="00DD0835"/>
    <w:rPr>
      <w:color w:val="605E5C"/>
      <w:shd w:val="clear" w:color="auto" w:fill="E1DFDD"/>
    </w:rPr>
  </w:style>
  <w:style w:type="character" w:customStyle="1" w:styleId="Heading2Char">
    <w:name w:val="Heading 2 Char"/>
    <w:basedOn w:val="DefaultParagraphFont"/>
    <w:link w:val="Heading2"/>
    <w:uiPriority w:val="2"/>
    <w:rsid w:val="00DD0835"/>
    <w:rPr>
      <w:rFonts w:asciiTheme="majorHAnsi" w:eastAsiaTheme="majorEastAsia" w:hAnsiTheme="majorHAnsi"/>
      <w:color w:val="D5C8B6" w:themeColor="accent3"/>
      <w:kern w:val="32"/>
      <w:sz w:val="28"/>
      <w:szCs w:val="28"/>
      <w:lang w:val="en-AU"/>
    </w:rPr>
  </w:style>
  <w:style w:type="numbering" w:customStyle="1" w:styleId="ListNumbers">
    <w:name w:val="ListNumbers"/>
    <w:uiPriority w:val="99"/>
    <w:rsid w:val="00DD0835"/>
    <w:pPr>
      <w:numPr>
        <w:numId w:val="3"/>
      </w:numPr>
    </w:pPr>
  </w:style>
  <w:style w:type="table" w:styleId="GridTable5Dark-Accent1">
    <w:name w:val="Grid Table 5 Dark Accent 1"/>
    <w:basedOn w:val="TableNormal"/>
    <w:uiPriority w:val="50"/>
    <w:rsid w:val="00DD0835"/>
    <w:pPr>
      <w:spacing w:before="240" w:line="280" w:lineRule="atLeast"/>
    </w:pPr>
    <w:rPr>
      <w:rFonts w:cstheme="minorBidi"/>
      <w:color w:val="000000" w:themeColor="text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A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3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3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3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3136" w:themeFill="accent1"/>
      </w:tcPr>
    </w:tblStylePr>
    <w:tblStylePr w:type="band1Vert">
      <w:tblPr/>
      <w:tcPr>
        <w:shd w:val="clear" w:color="auto" w:fill="94B6C0" w:themeFill="accent1" w:themeFillTint="66"/>
      </w:tcPr>
    </w:tblStylePr>
    <w:tblStylePr w:type="band1Horz">
      <w:tblPr/>
      <w:tcPr>
        <w:shd w:val="clear" w:color="auto" w:fill="94B6C0" w:themeFill="accent1" w:themeFillTint="66"/>
      </w:tcPr>
    </w:tblStylePr>
  </w:style>
  <w:style w:type="table" w:customStyle="1" w:styleId="TableElectraNet">
    <w:name w:val="Table_ElectraNet"/>
    <w:basedOn w:val="TableNormal"/>
    <w:uiPriority w:val="99"/>
    <w:rsid w:val="00DD0835"/>
    <w:tblPr>
      <w:tblStyleRowBandSize w:val="1"/>
      <w:tblBorders>
        <w:bottom w:val="single" w:sz="4" w:space="0" w:color="203136" w:themeColor="accent1"/>
        <w:insideH w:val="single" w:sz="4" w:space="0" w:color="203136" w:themeColor="accent1"/>
      </w:tblBorders>
      <w:tblCellMar>
        <w:top w:w="57" w:type="dxa"/>
        <w:left w:w="57" w:type="dxa"/>
        <w:bottom w:w="57" w:type="dxa"/>
        <w:right w:w="57" w:type="dxa"/>
      </w:tblCellMar>
    </w:tblPr>
    <w:tcPr>
      <w:shd w:val="clear" w:color="auto" w:fill="auto"/>
    </w:tcPr>
    <w:tblStylePr w:type="firstRow">
      <w:pPr>
        <w:jc w:val="left"/>
      </w:pPr>
      <w:rPr>
        <w:rFonts w:asciiTheme="majorHAnsi" w:hAnsiTheme="majorHAnsi"/>
        <w:b w:val="0"/>
        <w:i w:val="0"/>
        <w:caps w:val="0"/>
        <w:smallCaps w:val="0"/>
        <w:color w:val="DDFC70" w:themeColor="accent2"/>
        <w:sz w:val="18"/>
      </w:rPr>
      <w:tblPr/>
      <w:trPr>
        <w:tblHeader/>
      </w:trPr>
      <w:tcPr>
        <w:tcBorders>
          <w:top w:val="nil"/>
          <w:left w:val="nil"/>
          <w:bottom w:val="nil"/>
          <w:right w:val="nil"/>
          <w:insideH w:val="nil"/>
          <w:insideV w:val="nil"/>
          <w:tl2br w:val="nil"/>
          <w:tr2bl w:val="nil"/>
        </w:tcBorders>
        <w:shd w:val="clear" w:color="auto" w:fill="203136" w:themeFill="accent1"/>
        <w:vAlign w:val="center"/>
      </w:tcPr>
    </w:tblStylePr>
    <w:tblStylePr w:type="lastRow">
      <w:pPr>
        <w:jc w:val="left"/>
      </w:pPr>
      <w:rPr>
        <w:color w:val="DDFC70" w:themeColor="accent2"/>
      </w:rPr>
      <w:tblPr/>
      <w:tcPr>
        <w:tcBorders>
          <w:top w:val="single" w:sz="4" w:space="0" w:color="203136" w:themeColor="accent1"/>
          <w:left w:val="nil"/>
          <w:bottom w:val="single" w:sz="4" w:space="0" w:color="203136" w:themeColor="accent1"/>
          <w:right w:val="nil"/>
          <w:insideH w:val="nil"/>
          <w:insideV w:val="nil"/>
          <w:tl2br w:val="nil"/>
          <w:tr2bl w:val="nil"/>
        </w:tcBorders>
        <w:shd w:val="clear" w:color="auto" w:fill="203136" w:themeFill="accent1"/>
        <w:vAlign w:val="center"/>
      </w:tcPr>
    </w:tblStylePr>
    <w:tblStylePr w:type="band1Horz">
      <w:tblPr/>
      <w:tcPr>
        <w:tcBorders>
          <w:top w:val="single" w:sz="4" w:space="0" w:color="203136" w:themeColor="accent1"/>
          <w:left w:val="nil"/>
          <w:bottom w:val="single" w:sz="4" w:space="0" w:color="203136" w:themeColor="accent1"/>
          <w:right w:val="nil"/>
          <w:insideH w:val="single" w:sz="4" w:space="0" w:color="auto"/>
          <w:insideV w:val="nil"/>
          <w:tl2br w:val="nil"/>
          <w:tr2bl w:val="nil"/>
        </w:tcBorders>
        <w:shd w:val="clear" w:color="auto" w:fill="auto"/>
      </w:tcPr>
    </w:tblStylePr>
    <w:tblStylePr w:type="band2Horz">
      <w:tblPr/>
      <w:tcPr>
        <w:tcBorders>
          <w:top w:val="single" w:sz="4" w:space="0" w:color="203136" w:themeColor="accent1"/>
          <w:left w:val="nil"/>
          <w:bottom w:val="single" w:sz="4" w:space="0" w:color="203136" w:themeColor="accent1"/>
          <w:right w:val="nil"/>
          <w:insideH w:val="nil"/>
          <w:insideV w:val="nil"/>
          <w:tl2br w:val="nil"/>
          <w:tr2bl w:val="nil"/>
        </w:tcBorders>
        <w:shd w:val="clear" w:color="auto" w:fill="auto"/>
      </w:tcPr>
    </w:tblStylePr>
  </w:style>
  <w:style w:type="character" w:customStyle="1" w:styleId="Heading1Char">
    <w:name w:val="Heading 1 Char"/>
    <w:basedOn w:val="DefaultParagraphFont"/>
    <w:link w:val="Heading1"/>
    <w:uiPriority w:val="2"/>
    <w:rsid w:val="00DD0835"/>
    <w:rPr>
      <w:rFonts w:asciiTheme="majorHAnsi" w:eastAsiaTheme="majorEastAsia" w:hAnsiTheme="majorHAnsi"/>
      <w:iCs/>
      <w:color w:val="889EA6" w:themeColor="accent4"/>
      <w:kern w:val="32"/>
      <w:sz w:val="32"/>
      <w:szCs w:val="32"/>
      <w:lang w:val="en-AU"/>
    </w:rPr>
  </w:style>
  <w:style w:type="character" w:customStyle="1" w:styleId="Heading3Char">
    <w:name w:val="Heading 3 Char"/>
    <w:basedOn w:val="DefaultParagraphFont"/>
    <w:link w:val="Heading3"/>
    <w:uiPriority w:val="2"/>
    <w:rsid w:val="00DD0835"/>
    <w:rPr>
      <w:rFonts w:asciiTheme="majorHAnsi" w:hAnsiTheme="majorHAnsi" w:cstheme="minorHAnsi"/>
      <w:color w:val="B8D0EC" w:themeColor="accent5"/>
      <w:sz w:val="24"/>
      <w:szCs w:val="24"/>
      <w:lang w:val="en-AU"/>
    </w:rPr>
  </w:style>
  <w:style w:type="character" w:customStyle="1" w:styleId="Heading5Char">
    <w:name w:val="Heading 5 Char"/>
    <w:link w:val="Heading5"/>
    <w:semiHidden/>
    <w:rsid w:val="00DD0835"/>
    <w:rPr>
      <w:rFonts w:eastAsiaTheme="majorEastAsia" w:cstheme="majorBidi"/>
      <w:b/>
      <w:bCs/>
      <w:color w:val="FFFFFF" w:themeColor="background2"/>
      <w:sz w:val="44"/>
      <w:lang w:val="en-AU" w:eastAsia="x-none" w:bidi="he-IL"/>
    </w:rPr>
  </w:style>
  <w:style w:type="character" w:customStyle="1" w:styleId="Heading6Char">
    <w:name w:val="Heading 6 Char"/>
    <w:basedOn w:val="DefaultParagraphFont"/>
    <w:link w:val="Heading6"/>
    <w:semiHidden/>
    <w:rsid w:val="00DD0835"/>
    <w:rPr>
      <w:rFonts w:eastAsiaTheme="majorEastAsia"/>
      <w:color w:val="000080"/>
      <w:sz w:val="52"/>
      <w:lang w:val="en-US"/>
    </w:rPr>
  </w:style>
  <w:style w:type="character" w:customStyle="1" w:styleId="Heading7Char">
    <w:name w:val="Heading 7 Char"/>
    <w:basedOn w:val="DefaultParagraphFont"/>
    <w:link w:val="Heading7"/>
    <w:semiHidden/>
    <w:rsid w:val="00DD0835"/>
    <w:rPr>
      <w:rFonts w:eastAsiaTheme="majorEastAsia"/>
      <w:b/>
      <w:bCs/>
      <w:lang w:val="en-AU"/>
    </w:rPr>
  </w:style>
  <w:style w:type="paragraph" w:styleId="Quote">
    <w:name w:val="Quote"/>
    <w:basedOn w:val="Normal"/>
    <w:next w:val="Normal"/>
    <w:link w:val="QuoteChar"/>
    <w:uiPriority w:val="9"/>
    <w:qFormat/>
    <w:rsid w:val="00DD0835"/>
    <w:pPr>
      <w:spacing w:line="240" w:lineRule="atLeast"/>
      <w:ind w:left="1021" w:right="1021"/>
    </w:pPr>
    <w:rPr>
      <w:i/>
      <w:iCs/>
      <w:sz w:val="22"/>
    </w:rPr>
  </w:style>
  <w:style w:type="character" w:customStyle="1" w:styleId="QuoteChar">
    <w:name w:val="Quote Char"/>
    <w:basedOn w:val="DefaultParagraphFont"/>
    <w:link w:val="Quote"/>
    <w:uiPriority w:val="9"/>
    <w:rsid w:val="00DD0835"/>
    <w:rPr>
      <w:i/>
      <w:iCs/>
      <w:sz w:val="22"/>
      <w:lang w:val="en-AU"/>
    </w:rPr>
  </w:style>
  <w:style w:type="paragraph" w:customStyle="1" w:styleId="SourceNotes">
    <w:name w:val="Source Notes"/>
    <w:basedOn w:val="Normal"/>
    <w:uiPriority w:val="99"/>
    <w:semiHidden/>
    <w:rsid w:val="00DD0835"/>
    <w:pPr>
      <w:spacing w:before="60" w:after="60" w:line="200" w:lineRule="atLeast"/>
    </w:pPr>
    <w:rPr>
      <w:sz w:val="16"/>
    </w:rPr>
  </w:style>
  <w:style w:type="paragraph" w:customStyle="1" w:styleId="SourceNotesHeading">
    <w:name w:val="Source Notes Heading"/>
    <w:basedOn w:val="SourceNotes"/>
    <w:uiPriority w:val="99"/>
    <w:semiHidden/>
    <w:rsid w:val="00DD0835"/>
    <w:pPr>
      <w:spacing w:before="120"/>
    </w:pPr>
    <w:rPr>
      <w:rFonts w:asciiTheme="majorHAnsi" w:hAnsiTheme="majorHAnsi"/>
      <w:b/>
    </w:rPr>
  </w:style>
  <w:style w:type="paragraph" w:customStyle="1" w:styleId="SourceNotesNumbered">
    <w:name w:val="Source Notes Numbered"/>
    <w:basedOn w:val="SourceNotes"/>
    <w:uiPriority w:val="99"/>
    <w:semiHidden/>
    <w:rsid w:val="00DD0835"/>
    <w:pPr>
      <w:numPr>
        <w:numId w:val="14"/>
      </w:numPr>
    </w:pPr>
  </w:style>
  <w:style w:type="character" w:styleId="FootnoteReference">
    <w:name w:val="footnote reference"/>
    <w:basedOn w:val="DefaultParagraphFont"/>
    <w:uiPriority w:val="99"/>
    <w:semiHidden/>
    <w:unhideWhenUsed/>
    <w:rsid w:val="00DD0835"/>
    <w:rPr>
      <w:vertAlign w:val="superscript"/>
    </w:rPr>
  </w:style>
  <w:style w:type="character" w:styleId="PlaceholderText">
    <w:name w:val="Placeholder Text"/>
    <w:basedOn w:val="DefaultParagraphFont"/>
    <w:uiPriority w:val="99"/>
    <w:rsid w:val="00DD0835"/>
    <w:rPr>
      <w:color w:val="C00000"/>
    </w:rPr>
  </w:style>
  <w:style w:type="numbering" w:customStyle="1" w:styleId="Bullets">
    <w:name w:val="Bullets"/>
    <w:uiPriority w:val="99"/>
    <w:rsid w:val="00DD0835"/>
    <w:pPr>
      <w:numPr>
        <w:numId w:val="1"/>
      </w:numPr>
    </w:pPr>
  </w:style>
  <w:style w:type="paragraph" w:customStyle="1" w:styleId="GridText">
    <w:name w:val="Grid Text"/>
    <w:basedOn w:val="Normal"/>
    <w:semiHidden/>
    <w:qFormat/>
    <w:rsid w:val="00DD0835"/>
    <w:rPr>
      <w:color w:val="FFFFFF" w:themeColor="background2"/>
    </w:rPr>
  </w:style>
  <w:style w:type="character" w:customStyle="1" w:styleId="Heading8Char">
    <w:name w:val="Heading 8 Char"/>
    <w:basedOn w:val="DefaultParagraphFont"/>
    <w:link w:val="Heading8"/>
    <w:uiPriority w:val="9"/>
    <w:semiHidden/>
    <w:rsid w:val="00DD0835"/>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uiPriority w:val="9"/>
    <w:semiHidden/>
    <w:rsid w:val="00DD0835"/>
    <w:rPr>
      <w:rFonts w:asciiTheme="majorHAnsi" w:eastAsiaTheme="majorEastAsia" w:hAnsiTheme="majorHAnsi" w:cstheme="majorBidi"/>
      <w:i/>
      <w:iCs/>
      <w:color w:val="404040" w:themeColor="text1" w:themeTint="BF"/>
      <w:lang w:val="en-AU"/>
    </w:rPr>
  </w:style>
  <w:style w:type="paragraph" w:styleId="List5">
    <w:name w:val="List 5"/>
    <w:basedOn w:val="Normal"/>
    <w:uiPriority w:val="99"/>
    <w:semiHidden/>
    <w:unhideWhenUsed/>
    <w:rsid w:val="00DD0835"/>
    <w:pPr>
      <w:ind w:left="1415" w:hanging="283"/>
      <w:contextualSpacing/>
    </w:pPr>
  </w:style>
  <w:style w:type="table" w:styleId="PlainTable1">
    <w:name w:val="Plain Table 1"/>
    <w:basedOn w:val="TableNormal"/>
    <w:uiPriority w:val="41"/>
    <w:rsid w:val="00DD0835"/>
    <w:rPr>
      <w:rFonts w:eastAsia="Times New Roman"/>
      <w:color w:val="000000" w:themeColor="text2"/>
      <w:sz w:val="18"/>
      <w:szCs w:val="18"/>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0835"/>
    <w:pPr>
      <w:spacing w:line="240" w:lineRule="atLeast"/>
    </w:pPr>
    <w:rPr>
      <w:rFonts w:eastAsia="Times New Roman"/>
      <w:color w:val="000000" w:themeColor="text2"/>
      <w:sz w:val="18"/>
      <w:szCs w:val="18"/>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D0835"/>
    <w:rPr>
      <w:color w:val="605E5C"/>
      <w:shd w:val="clear" w:color="auto" w:fill="E1DFDD"/>
    </w:rPr>
  </w:style>
  <w:style w:type="paragraph" w:styleId="Title">
    <w:name w:val="Title"/>
    <w:basedOn w:val="Normal"/>
    <w:next w:val="Normal"/>
    <w:link w:val="TitleChar"/>
    <w:rsid w:val="00FA2279"/>
    <w:pPr>
      <w:spacing w:before="0" w:line="760" w:lineRule="exact"/>
      <w:contextualSpacing/>
    </w:pPr>
    <w:rPr>
      <w:rFonts w:asciiTheme="majorHAnsi" w:eastAsiaTheme="majorEastAsia" w:hAnsiTheme="majorHAnsi" w:cstheme="majorBidi"/>
      <w:color w:val="DDFC70" w:themeColor="accent2"/>
      <w:kern w:val="28"/>
      <w:sz w:val="76"/>
      <w:szCs w:val="56"/>
    </w:rPr>
  </w:style>
  <w:style w:type="character" w:customStyle="1" w:styleId="TitleChar">
    <w:name w:val="Title Char"/>
    <w:basedOn w:val="DefaultParagraphFont"/>
    <w:link w:val="Title"/>
    <w:rsid w:val="00FA2279"/>
    <w:rPr>
      <w:rFonts w:asciiTheme="majorHAnsi" w:eastAsiaTheme="majorEastAsia" w:hAnsiTheme="majorHAnsi" w:cstheme="majorBidi"/>
      <w:color w:val="DDFC70" w:themeColor="accent2"/>
      <w:kern w:val="28"/>
      <w:sz w:val="76"/>
      <w:szCs w:val="56"/>
      <w:lang w:val="en-AU"/>
    </w:rPr>
  </w:style>
  <w:style w:type="paragraph" w:styleId="ListNumber">
    <w:name w:val="List Number"/>
    <w:basedOn w:val="Normal"/>
    <w:uiPriority w:val="4"/>
    <w:qFormat/>
    <w:rsid w:val="00DD0835"/>
    <w:pPr>
      <w:numPr>
        <w:numId w:val="11"/>
      </w:numPr>
      <w:ind w:left="1701" w:hanging="1701"/>
      <w:contextualSpacing/>
    </w:pPr>
  </w:style>
  <w:style w:type="numbering" w:customStyle="1" w:styleId="NumberedHeadings">
    <w:name w:val="NumberedHeadings"/>
    <w:uiPriority w:val="99"/>
    <w:rsid w:val="00DD0835"/>
    <w:pPr>
      <w:numPr>
        <w:numId w:val="2"/>
      </w:numPr>
    </w:pPr>
  </w:style>
  <w:style w:type="paragraph" w:styleId="ListBullet3">
    <w:name w:val="List Bullet 3"/>
    <w:basedOn w:val="Normal"/>
    <w:uiPriority w:val="4"/>
    <w:rsid w:val="00DD0835"/>
    <w:pPr>
      <w:numPr>
        <w:ilvl w:val="2"/>
        <w:numId w:val="9"/>
      </w:numPr>
      <w:ind w:hanging="680"/>
      <w:contextualSpacing/>
    </w:pPr>
  </w:style>
  <w:style w:type="paragraph" w:styleId="Caption">
    <w:name w:val="caption"/>
    <w:basedOn w:val="Normal"/>
    <w:next w:val="Normal"/>
    <w:uiPriority w:val="10"/>
    <w:qFormat/>
    <w:rsid w:val="00127276"/>
    <w:pPr>
      <w:spacing w:line="240" w:lineRule="atLeast"/>
    </w:pPr>
    <w:rPr>
      <w:b/>
      <w:iCs/>
      <w:color w:val="203136" w:themeColor="accent1"/>
      <w:sz w:val="18"/>
      <w:szCs w:val="18"/>
    </w:rPr>
  </w:style>
  <w:style w:type="paragraph" w:customStyle="1" w:styleId="Heading1Numbered">
    <w:name w:val="Heading 1 Numbered"/>
    <w:basedOn w:val="Heading1"/>
    <w:next w:val="Normal"/>
    <w:uiPriority w:val="2"/>
    <w:qFormat/>
    <w:rsid w:val="00DD0835"/>
    <w:pPr>
      <w:numPr>
        <w:numId w:val="12"/>
      </w:numPr>
      <w:ind w:left="340" w:hanging="340"/>
    </w:pPr>
  </w:style>
  <w:style w:type="paragraph" w:customStyle="1" w:styleId="Heading2Numbered">
    <w:name w:val="Heading 2 Numbered"/>
    <w:basedOn w:val="Heading2"/>
    <w:next w:val="Normal"/>
    <w:uiPriority w:val="2"/>
    <w:qFormat/>
    <w:rsid w:val="00DD0835"/>
    <w:pPr>
      <w:numPr>
        <w:ilvl w:val="1"/>
        <w:numId w:val="12"/>
      </w:numPr>
    </w:pPr>
  </w:style>
  <w:style w:type="paragraph" w:customStyle="1" w:styleId="Heading3Numbered">
    <w:name w:val="Heading 3 Numbered"/>
    <w:basedOn w:val="Heading3"/>
    <w:next w:val="Normal"/>
    <w:uiPriority w:val="2"/>
    <w:qFormat/>
    <w:rsid w:val="00DD0835"/>
    <w:pPr>
      <w:numPr>
        <w:ilvl w:val="2"/>
        <w:numId w:val="12"/>
      </w:numPr>
      <w:tabs>
        <w:tab w:val="num" w:pos="680"/>
      </w:tabs>
      <w:ind w:left="1021" w:hanging="341"/>
    </w:pPr>
  </w:style>
  <w:style w:type="paragraph" w:customStyle="1" w:styleId="Appendix">
    <w:name w:val="Appendix"/>
    <w:basedOn w:val="Heading1"/>
    <w:next w:val="Normal"/>
    <w:uiPriority w:val="3"/>
    <w:qFormat/>
    <w:rsid w:val="00DD0835"/>
    <w:pPr>
      <w:pageBreakBefore/>
      <w:numPr>
        <w:numId w:val="7"/>
      </w:numPr>
    </w:pPr>
  </w:style>
  <w:style w:type="numbering" w:customStyle="1" w:styleId="AppendixHeading">
    <w:name w:val="AppendixHeading"/>
    <w:uiPriority w:val="99"/>
    <w:rsid w:val="00DD0835"/>
    <w:pPr>
      <w:numPr>
        <w:numId w:val="4"/>
      </w:numPr>
    </w:pPr>
  </w:style>
  <w:style w:type="paragraph" w:customStyle="1" w:styleId="AppendixSubheading">
    <w:name w:val="Appendix Subheading"/>
    <w:basedOn w:val="Heading2"/>
    <w:next w:val="Normal"/>
    <w:uiPriority w:val="3"/>
    <w:qFormat/>
    <w:rsid w:val="00DD0835"/>
    <w:pPr>
      <w:numPr>
        <w:ilvl w:val="1"/>
        <w:numId w:val="7"/>
      </w:numPr>
    </w:pPr>
  </w:style>
  <w:style w:type="paragraph" w:customStyle="1" w:styleId="TableHeading2">
    <w:name w:val="Table Heading 2"/>
    <w:basedOn w:val="TableHeading"/>
    <w:next w:val="Normal"/>
    <w:uiPriority w:val="5"/>
    <w:qFormat/>
    <w:rsid w:val="00DD0835"/>
    <w:rPr>
      <w:color w:val="auto"/>
    </w:rPr>
  </w:style>
  <w:style w:type="paragraph" w:customStyle="1" w:styleId="TableListNumber">
    <w:name w:val="Table List Number"/>
    <w:basedOn w:val="TableText"/>
    <w:uiPriority w:val="6"/>
    <w:qFormat/>
    <w:rsid w:val="00DD0835"/>
    <w:pPr>
      <w:numPr>
        <w:numId w:val="16"/>
      </w:numPr>
    </w:pPr>
  </w:style>
  <w:style w:type="numbering" w:customStyle="1" w:styleId="TableNumbers">
    <w:name w:val="TableNumbers"/>
    <w:uiPriority w:val="99"/>
    <w:rsid w:val="00DD0835"/>
    <w:pPr>
      <w:numPr>
        <w:numId w:val="5"/>
      </w:numPr>
    </w:pPr>
  </w:style>
  <w:style w:type="paragraph" w:customStyle="1" w:styleId="TableListNumber2">
    <w:name w:val="Table List Number 2"/>
    <w:basedOn w:val="TableText"/>
    <w:uiPriority w:val="6"/>
    <w:qFormat/>
    <w:rsid w:val="00DD0835"/>
    <w:pPr>
      <w:numPr>
        <w:ilvl w:val="1"/>
        <w:numId w:val="16"/>
      </w:numPr>
    </w:pPr>
  </w:style>
  <w:style w:type="paragraph" w:customStyle="1" w:styleId="TableListNumber3">
    <w:name w:val="Table List Number 3"/>
    <w:basedOn w:val="TableText"/>
    <w:uiPriority w:val="6"/>
    <w:qFormat/>
    <w:rsid w:val="00DD0835"/>
    <w:pPr>
      <w:numPr>
        <w:ilvl w:val="2"/>
        <w:numId w:val="16"/>
      </w:numPr>
    </w:pPr>
  </w:style>
  <w:style w:type="paragraph" w:customStyle="1" w:styleId="TableBullet">
    <w:name w:val="Table Bullet"/>
    <w:basedOn w:val="TableText"/>
    <w:uiPriority w:val="7"/>
    <w:qFormat/>
    <w:rsid w:val="00DD0835"/>
    <w:pPr>
      <w:numPr>
        <w:numId w:val="15"/>
      </w:numPr>
    </w:pPr>
  </w:style>
  <w:style w:type="paragraph" w:customStyle="1" w:styleId="TableBullet2">
    <w:name w:val="Table Bullet 2"/>
    <w:basedOn w:val="TableText"/>
    <w:uiPriority w:val="7"/>
    <w:qFormat/>
    <w:rsid w:val="00DD0835"/>
    <w:pPr>
      <w:numPr>
        <w:ilvl w:val="1"/>
        <w:numId w:val="15"/>
      </w:numPr>
    </w:pPr>
  </w:style>
  <w:style w:type="paragraph" w:customStyle="1" w:styleId="TableBullet3">
    <w:name w:val="Table Bullet 3"/>
    <w:basedOn w:val="TableText"/>
    <w:uiPriority w:val="7"/>
    <w:qFormat/>
    <w:rsid w:val="00DD0835"/>
    <w:pPr>
      <w:numPr>
        <w:ilvl w:val="2"/>
        <w:numId w:val="15"/>
      </w:numPr>
    </w:pPr>
  </w:style>
  <w:style w:type="numbering" w:customStyle="1" w:styleId="TableBullets">
    <w:name w:val="TableBullets"/>
    <w:uiPriority w:val="99"/>
    <w:rsid w:val="00DD0835"/>
    <w:pPr>
      <w:numPr>
        <w:numId w:val="6"/>
      </w:numPr>
    </w:pPr>
  </w:style>
  <w:style w:type="paragraph" w:customStyle="1" w:styleId="AppendixSubheading2">
    <w:name w:val="Appendix Subheading 2"/>
    <w:basedOn w:val="Heading3"/>
    <w:next w:val="Normal"/>
    <w:uiPriority w:val="3"/>
    <w:qFormat/>
    <w:rsid w:val="00DD0835"/>
  </w:style>
  <w:style w:type="paragraph" w:customStyle="1" w:styleId="ListBullet2Indent">
    <w:name w:val="List Bullet 2 Indent"/>
    <w:basedOn w:val="ListBullet2"/>
    <w:uiPriority w:val="4"/>
    <w:qFormat/>
    <w:rsid w:val="00DD0835"/>
    <w:pPr>
      <w:numPr>
        <w:ilvl w:val="0"/>
        <w:numId w:val="0"/>
      </w:numPr>
      <w:ind w:left="680"/>
    </w:pPr>
  </w:style>
  <w:style w:type="paragraph" w:customStyle="1" w:styleId="ListBullet3Indent">
    <w:name w:val="List Bullet 3 Indent"/>
    <w:basedOn w:val="ListBullet3"/>
    <w:uiPriority w:val="4"/>
    <w:qFormat/>
    <w:rsid w:val="00DD0835"/>
    <w:pPr>
      <w:numPr>
        <w:ilvl w:val="0"/>
        <w:numId w:val="0"/>
      </w:numPr>
      <w:ind w:left="1021"/>
    </w:pPr>
  </w:style>
  <w:style w:type="paragraph" w:customStyle="1" w:styleId="ListBulletIndent">
    <w:name w:val="List Bullet Indent"/>
    <w:basedOn w:val="ListBullet"/>
    <w:uiPriority w:val="3"/>
    <w:qFormat/>
    <w:rsid w:val="00DD0835"/>
    <w:pPr>
      <w:numPr>
        <w:numId w:val="0"/>
      </w:numPr>
      <w:ind w:left="340"/>
    </w:pPr>
  </w:style>
  <w:style w:type="paragraph" w:customStyle="1" w:styleId="ListNumber2Indent">
    <w:name w:val="List Number 2 Indent"/>
    <w:basedOn w:val="ListNumber2"/>
    <w:uiPriority w:val="5"/>
    <w:qFormat/>
    <w:rsid w:val="00DD0835"/>
    <w:pPr>
      <w:numPr>
        <w:ilvl w:val="0"/>
        <w:numId w:val="0"/>
      </w:numPr>
      <w:ind w:left="680"/>
    </w:pPr>
  </w:style>
  <w:style w:type="paragraph" w:customStyle="1" w:styleId="ListNumber3Indent">
    <w:name w:val="List Number 3 Indent"/>
    <w:basedOn w:val="ListNumber3"/>
    <w:uiPriority w:val="5"/>
    <w:qFormat/>
    <w:rsid w:val="00DD0835"/>
    <w:pPr>
      <w:numPr>
        <w:ilvl w:val="0"/>
        <w:numId w:val="0"/>
      </w:numPr>
      <w:ind w:left="1021"/>
    </w:pPr>
  </w:style>
  <w:style w:type="paragraph" w:customStyle="1" w:styleId="ListNumberIndent">
    <w:name w:val="List Number Indent"/>
    <w:basedOn w:val="ListNumber"/>
    <w:uiPriority w:val="4"/>
    <w:qFormat/>
    <w:rsid w:val="00DD0835"/>
    <w:pPr>
      <w:numPr>
        <w:numId w:val="0"/>
      </w:numPr>
      <w:ind w:left="340"/>
    </w:pPr>
  </w:style>
  <w:style w:type="paragraph" w:styleId="Subtitle">
    <w:name w:val="Subtitle"/>
    <w:basedOn w:val="Normal"/>
    <w:next w:val="Normal"/>
    <w:link w:val="SubtitleChar"/>
    <w:qFormat/>
    <w:rsid w:val="00FA2279"/>
    <w:pPr>
      <w:numPr>
        <w:ilvl w:val="1"/>
      </w:numPr>
      <w:spacing w:after="240" w:line="520" w:lineRule="atLeast"/>
    </w:pPr>
    <w:rPr>
      <w:rFonts w:asciiTheme="majorHAnsi" w:eastAsiaTheme="minorEastAsia" w:hAnsiTheme="majorHAnsi" w:cstheme="minorBidi"/>
      <w:color w:val="B8D0EC" w:themeColor="accent5"/>
      <w:sz w:val="48"/>
      <w:szCs w:val="22"/>
    </w:rPr>
  </w:style>
  <w:style w:type="character" w:customStyle="1" w:styleId="SubtitleChar">
    <w:name w:val="Subtitle Char"/>
    <w:basedOn w:val="DefaultParagraphFont"/>
    <w:link w:val="Subtitle"/>
    <w:rsid w:val="00FA2279"/>
    <w:rPr>
      <w:rFonts w:asciiTheme="majorHAnsi" w:eastAsiaTheme="minorEastAsia" w:hAnsiTheme="majorHAnsi" w:cstheme="minorBidi"/>
      <w:color w:val="B8D0EC" w:themeColor="accent5"/>
      <w:sz w:val="48"/>
      <w:szCs w:val="22"/>
      <w:lang w:val="en-AU"/>
    </w:rPr>
  </w:style>
  <w:style w:type="paragraph" w:styleId="Date">
    <w:name w:val="Date"/>
    <w:basedOn w:val="Normal"/>
    <w:next w:val="Normal"/>
    <w:link w:val="DateChar"/>
    <w:rsid w:val="00FA2279"/>
    <w:pPr>
      <w:spacing w:before="240" w:after="0" w:line="320" w:lineRule="atLeast"/>
    </w:pPr>
    <w:rPr>
      <w:rFonts w:asciiTheme="majorHAnsi" w:hAnsiTheme="majorHAnsi"/>
      <w:color w:val="DDFC70" w:themeColor="accent2"/>
      <w:sz w:val="32"/>
    </w:rPr>
  </w:style>
  <w:style w:type="character" w:customStyle="1" w:styleId="DateChar">
    <w:name w:val="Date Char"/>
    <w:basedOn w:val="DefaultParagraphFont"/>
    <w:link w:val="Date"/>
    <w:rsid w:val="00FA2279"/>
    <w:rPr>
      <w:rFonts w:asciiTheme="majorHAnsi" w:hAnsiTheme="majorHAnsi"/>
      <w:color w:val="DDFC70" w:themeColor="accent2"/>
      <w:sz w:val="32"/>
      <w:lang w:val="en-AU"/>
    </w:rPr>
  </w:style>
  <w:style w:type="paragraph" w:customStyle="1" w:styleId="RevisionHeading">
    <w:name w:val="Revision Heading"/>
    <w:basedOn w:val="Heading2"/>
    <w:qFormat/>
    <w:rsid w:val="0008226B"/>
    <w:pPr>
      <w:spacing w:before="2000"/>
    </w:pPr>
    <w:rPr>
      <w:sz w:val="36"/>
      <w:lang w:val="en-US"/>
    </w:rPr>
  </w:style>
  <w:style w:type="paragraph" w:customStyle="1" w:styleId="CopyrightText">
    <w:name w:val="Copyright Text"/>
    <w:basedOn w:val="Footer"/>
    <w:qFormat/>
    <w:rsid w:val="0008226B"/>
    <w:pPr>
      <w:spacing w:line="220" w:lineRule="exact"/>
    </w:pPr>
    <w:rPr>
      <w:color w:val="000000" w:themeColor="text1"/>
      <w:sz w:val="18"/>
    </w:rPr>
  </w:style>
  <w:style w:type="paragraph" w:customStyle="1" w:styleId="CopyrightHeading">
    <w:name w:val="Copyright Heading"/>
    <w:basedOn w:val="CopyrightText"/>
    <w:qFormat/>
    <w:rsid w:val="0008226B"/>
    <w:rPr>
      <w:rFonts w:asciiTheme="majorHAnsi" w:hAnsiTheme="majorHAnsi"/>
      <w:caps/>
    </w:rPr>
  </w:style>
  <w:style w:type="paragraph" w:customStyle="1" w:styleId="TableofTables">
    <w:name w:val="Table of Tables"/>
    <w:basedOn w:val="TableofFigures"/>
    <w:next w:val="Normal"/>
    <w:uiPriority w:val="39"/>
    <w:rsid w:val="00374559"/>
    <w:pPr>
      <w:tabs>
        <w:tab w:val="clear" w:pos="9497"/>
        <w:tab w:val="right" w:pos="10195"/>
      </w:tabs>
      <w:adjustRightInd/>
      <w:snapToGrid/>
      <w:spacing w:before="0" w:after="100" w:line="250" w:lineRule="atLeast"/>
    </w:pPr>
    <w:rPr>
      <w:rFonts w:eastAsia="Times New Roman"/>
      <w:snapToGrid w:val="0"/>
      <w:color w:val="000000" w:themeColor="text2"/>
      <w:szCs w:val="19"/>
      <w:lang w:eastAsia="en-AU"/>
    </w:rPr>
  </w:style>
  <w:style w:type="paragraph" w:customStyle="1" w:styleId="TOCHeading2">
    <w:name w:val="TOC Heading 2"/>
    <w:basedOn w:val="TOCHeading"/>
    <w:uiPriority w:val="9"/>
    <w:qFormat/>
    <w:rsid w:val="00374559"/>
    <w:pPr>
      <w:spacing w:after="120" w:line="260" w:lineRule="atLeast"/>
    </w:pPr>
    <w:rPr>
      <w:color w:val="889EA6" w:themeColor="accent4"/>
      <w:sz w:val="22"/>
    </w:rPr>
  </w:style>
  <w:style w:type="numbering" w:customStyle="1" w:styleId="ClientBullets">
    <w:name w:val="Client Bullets"/>
    <w:uiPriority w:val="99"/>
    <w:rsid w:val="00374559"/>
    <w:pPr>
      <w:numPr>
        <w:numId w:val="17"/>
      </w:numPr>
    </w:pPr>
  </w:style>
  <w:style w:type="paragraph" w:styleId="ListParagraph">
    <w:name w:val="List Paragraph"/>
    <w:basedOn w:val="Normal"/>
    <w:uiPriority w:val="34"/>
    <w:qFormat/>
    <w:rsid w:val="004606CD"/>
    <w:pPr>
      <w:ind w:left="720"/>
      <w:contextualSpacing/>
    </w:pPr>
  </w:style>
  <w:style w:type="character" w:styleId="IntenseEmphasis">
    <w:name w:val="Intense Emphasis"/>
    <w:basedOn w:val="DefaultParagraphFont"/>
    <w:uiPriority w:val="21"/>
    <w:semiHidden/>
    <w:qFormat/>
    <w:rsid w:val="004606CD"/>
    <w:rPr>
      <w:i/>
      <w:iCs/>
      <w:color w:val="182428" w:themeColor="accent1" w:themeShade="BF"/>
    </w:rPr>
  </w:style>
  <w:style w:type="character" w:styleId="Strong">
    <w:name w:val="Strong"/>
    <w:basedOn w:val="DefaultParagraphFont"/>
    <w:uiPriority w:val="22"/>
    <w:qFormat/>
    <w:rsid w:val="004C4627"/>
    <w:rPr>
      <w:b/>
      <w:bCs/>
    </w:rPr>
  </w:style>
  <w:style w:type="paragraph" w:customStyle="1" w:styleId="Default">
    <w:name w:val="Default"/>
    <w:rsid w:val="002B5CAD"/>
    <w:pPr>
      <w:autoSpaceDE w:val="0"/>
      <w:autoSpaceDN w:val="0"/>
      <w:adjustRightInd w:val="0"/>
    </w:pPr>
    <w:rPr>
      <w:rFonts w:ascii="Poppins" w:hAnsi="Poppins" w:cs="Poppins"/>
      <w:color w:val="000000"/>
      <w:sz w:val="24"/>
      <w:szCs w:val="24"/>
      <w:lang w:val="en-AU"/>
    </w:rPr>
  </w:style>
  <w:style w:type="paragraph" w:styleId="Revision">
    <w:name w:val="Revision"/>
    <w:hidden/>
    <w:uiPriority w:val="99"/>
    <w:semiHidden/>
    <w:rsid w:val="002E2A8C"/>
    <w:rPr>
      <w:rFonts w:eastAsia="SimSu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2321">
      <w:bodyDiv w:val="1"/>
      <w:marLeft w:val="0"/>
      <w:marRight w:val="0"/>
      <w:marTop w:val="0"/>
      <w:marBottom w:val="0"/>
      <w:divBdr>
        <w:top w:val="none" w:sz="0" w:space="0" w:color="auto"/>
        <w:left w:val="none" w:sz="0" w:space="0" w:color="auto"/>
        <w:bottom w:val="none" w:sz="0" w:space="0" w:color="auto"/>
        <w:right w:val="none" w:sz="0" w:space="0" w:color="auto"/>
      </w:divBdr>
    </w:div>
    <w:div w:id="18745225">
      <w:bodyDiv w:val="1"/>
      <w:marLeft w:val="0"/>
      <w:marRight w:val="0"/>
      <w:marTop w:val="0"/>
      <w:marBottom w:val="0"/>
      <w:divBdr>
        <w:top w:val="none" w:sz="0" w:space="0" w:color="auto"/>
        <w:left w:val="none" w:sz="0" w:space="0" w:color="auto"/>
        <w:bottom w:val="none" w:sz="0" w:space="0" w:color="auto"/>
        <w:right w:val="none" w:sz="0" w:space="0" w:color="auto"/>
      </w:divBdr>
    </w:div>
    <w:div w:id="29958110">
      <w:bodyDiv w:val="1"/>
      <w:marLeft w:val="0"/>
      <w:marRight w:val="0"/>
      <w:marTop w:val="0"/>
      <w:marBottom w:val="0"/>
      <w:divBdr>
        <w:top w:val="none" w:sz="0" w:space="0" w:color="auto"/>
        <w:left w:val="none" w:sz="0" w:space="0" w:color="auto"/>
        <w:bottom w:val="none" w:sz="0" w:space="0" w:color="auto"/>
        <w:right w:val="none" w:sz="0" w:space="0" w:color="auto"/>
      </w:divBdr>
    </w:div>
    <w:div w:id="59259388">
      <w:bodyDiv w:val="1"/>
      <w:marLeft w:val="0"/>
      <w:marRight w:val="0"/>
      <w:marTop w:val="0"/>
      <w:marBottom w:val="0"/>
      <w:divBdr>
        <w:top w:val="none" w:sz="0" w:space="0" w:color="auto"/>
        <w:left w:val="none" w:sz="0" w:space="0" w:color="auto"/>
        <w:bottom w:val="none" w:sz="0" w:space="0" w:color="auto"/>
        <w:right w:val="none" w:sz="0" w:space="0" w:color="auto"/>
      </w:divBdr>
    </w:div>
    <w:div w:id="94135738">
      <w:bodyDiv w:val="1"/>
      <w:marLeft w:val="0"/>
      <w:marRight w:val="0"/>
      <w:marTop w:val="0"/>
      <w:marBottom w:val="0"/>
      <w:divBdr>
        <w:top w:val="none" w:sz="0" w:space="0" w:color="auto"/>
        <w:left w:val="none" w:sz="0" w:space="0" w:color="auto"/>
        <w:bottom w:val="none" w:sz="0" w:space="0" w:color="auto"/>
        <w:right w:val="none" w:sz="0" w:space="0" w:color="auto"/>
      </w:divBdr>
    </w:div>
    <w:div w:id="118110627">
      <w:bodyDiv w:val="1"/>
      <w:marLeft w:val="0"/>
      <w:marRight w:val="0"/>
      <w:marTop w:val="0"/>
      <w:marBottom w:val="0"/>
      <w:divBdr>
        <w:top w:val="none" w:sz="0" w:space="0" w:color="auto"/>
        <w:left w:val="none" w:sz="0" w:space="0" w:color="auto"/>
        <w:bottom w:val="none" w:sz="0" w:space="0" w:color="auto"/>
        <w:right w:val="none" w:sz="0" w:space="0" w:color="auto"/>
      </w:divBdr>
    </w:div>
    <w:div w:id="146828955">
      <w:bodyDiv w:val="1"/>
      <w:marLeft w:val="0"/>
      <w:marRight w:val="0"/>
      <w:marTop w:val="0"/>
      <w:marBottom w:val="0"/>
      <w:divBdr>
        <w:top w:val="none" w:sz="0" w:space="0" w:color="auto"/>
        <w:left w:val="none" w:sz="0" w:space="0" w:color="auto"/>
        <w:bottom w:val="none" w:sz="0" w:space="0" w:color="auto"/>
        <w:right w:val="none" w:sz="0" w:space="0" w:color="auto"/>
      </w:divBdr>
    </w:div>
    <w:div w:id="152067418">
      <w:bodyDiv w:val="1"/>
      <w:marLeft w:val="0"/>
      <w:marRight w:val="0"/>
      <w:marTop w:val="0"/>
      <w:marBottom w:val="0"/>
      <w:divBdr>
        <w:top w:val="none" w:sz="0" w:space="0" w:color="auto"/>
        <w:left w:val="none" w:sz="0" w:space="0" w:color="auto"/>
        <w:bottom w:val="none" w:sz="0" w:space="0" w:color="auto"/>
        <w:right w:val="none" w:sz="0" w:space="0" w:color="auto"/>
      </w:divBdr>
    </w:div>
    <w:div w:id="171922305">
      <w:bodyDiv w:val="1"/>
      <w:marLeft w:val="0"/>
      <w:marRight w:val="0"/>
      <w:marTop w:val="0"/>
      <w:marBottom w:val="0"/>
      <w:divBdr>
        <w:top w:val="none" w:sz="0" w:space="0" w:color="auto"/>
        <w:left w:val="none" w:sz="0" w:space="0" w:color="auto"/>
        <w:bottom w:val="none" w:sz="0" w:space="0" w:color="auto"/>
        <w:right w:val="none" w:sz="0" w:space="0" w:color="auto"/>
      </w:divBdr>
    </w:div>
    <w:div w:id="207498207">
      <w:bodyDiv w:val="1"/>
      <w:marLeft w:val="0"/>
      <w:marRight w:val="0"/>
      <w:marTop w:val="0"/>
      <w:marBottom w:val="0"/>
      <w:divBdr>
        <w:top w:val="none" w:sz="0" w:space="0" w:color="auto"/>
        <w:left w:val="none" w:sz="0" w:space="0" w:color="auto"/>
        <w:bottom w:val="none" w:sz="0" w:space="0" w:color="auto"/>
        <w:right w:val="none" w:sz="0" w:space="0" w:color="auto"/>
      </w:divBdr>
    </w:div>
    <w:div w:id="215362729">
      <w:bodyDiv w:val="1"/>
      <w:marLeft w:val="0"/>
      <w:marRight w:val="0"/>
      <w:marTop w:val="0"/>
      <w:marBottom w:val="0"/>
      <w:divBdr>
        <w:top w:val="none" w:sz="0" w:space="0" w:color="auto"/>
        <w:left w:val="none" w:sz="0" w:space="0" w:color="auto"/>
        <w:bottom w:val="none" w:sz="0" w:space="0" w:color="auto"/>
        <w:right w:val="none" w:sz="0" w:space="0" w:color="auto"/>
      </w:divBdr>
    </w:div>
    <w:div w:id="237717486">
      <w:bodyDiv w:val="1"/>
      <w:marLeft w:val="0"/>
      <w:marRight w:val="0"/>
      <w:marTop w:val="0"/>
      <w:marBottom w:val="0"/>
      <w:divBdr>
        <w:top w:val="none" w:sz="0" w:space="0" w:color="auto"/>
        <w:left w:val="none" w:sz="0" w:space="0" w:color="auto"/>
        <w:bottom w:val="none" w:sz="0" w:space="0" w:color="auto"/>
        <w:right w:val="none" w:sz="0" w:space="0" w:color="auto"/>
      </w:divBdr>
    </w:div>
    <w:div w:id="240065070">
      <w:bodyDiv w:val="1"/>
      <w:marLeft w:val="0"/>
      <w:marRight w:val="0"/>
      <w:marTop w:val="0"/>
      <w:marBottom w:val="0"/>
      <w:divBdr>
        <w:top w:val="none" w:sz="0" w:space="0" w:color="auto"/>
        <w:left w:val="none" w:sz="0" w:space="0" w:color="auto"/>
        <w:bottom w:val="none" w:sz="0" w:space="0" w:color="auto"/>
        <w:right w:val="none" w:sz="0" w:space="0" w:color="auto"/>
      </w:divBdr>
    </w:div>
    <w:div w:id="254632044">
      <w:bodyDiv w:val="1"/>
      <w:marLeft w:val="0"/>
      <w:marRight w:val="0"/>
      <w:marTop w:val="0"/>
      <w:marBottom w:val="0"/>
      <w:divBdr>
        <w:top w:val="none" w:sz="0" w:space="0" w:color="auto"/>
        <w:left w:val="none" w:sz="0" w:space="0" w:color="auto"/>
        <w:bottom w:val="none" w:sz="0" w:space="0" w:color="auto"/>
        <w:right w:val="none" w:sz="0" w:space="0" w:color="auto"/>
      </w:divBdr>
    </w:div>
    <w:div w:id="393044244">
      <w:bodyDiv w:val="1"/>
      <w:marLeft w:val="0"/>
      <w:marRight w:val="0"/>
      <w:marTop w:val="0"/>
      <w:marBottom w:val="0"/>
      <w:divBdr>
        <w:top w:val="none" w:sz="0" w:space="0" w:color="auto"/>
        <w:left w:val="none" w:sz="0" w:space="0" w:color="auto"/>
        <w:bottom w:val="none" w:sz="0" w:space="0" w:color="auto"/>
        <w:right w:val="none" w:sz="0" w:space="0" w:color="auto"/>
      </w:divBdr>
    </w:div>
    <w:div w:id="398484457">
      <w:bodyDiv w:val="1"/>
      <w:marLeft w:val="0"/>
      <w:marRight w:val="0"/>
      <w:marTop w:val="0"/>
      <w:marBottom w:val="0"/>
      <w:divBdr>
        <w:top w:val="none" w:sz="0" w:space="0" w:color="auto"/>
        <w:left w:val="none" w:sz="0" w:space="0" w:color="auto"/>
        <w:bottom w:val="none" w:sz="0" w:space="0" w:color="auto"/>
        <w:right w:val="none" w:sz="0" w:space="0" w:color="auto"/>
      </w:divBdr>
    </w:div>
    <w:div w:id="404108788">
      <w:bodyDiv w:val="1"/>
      <w:marLeft w:val="0"/>
      <w:marRight w:val="0"/>
      <w:marTop w:val="0"/>
      <w:marBottom w:val="0"/>
      <w:divBdr>
        <w:top w:val="none" w:sz="0" w:space="0" w:color="auto"/>
        <w:left w:val="none" w:sz="0" w:space="0" w:color="auto"/>
        <w:bottom w:val="none" w:sz="0" w:space="0" w:color="auto"/>
        <w:right w:val="none" w:sz="0" w:space="0" w:color="auto"/>
      </w:divBdr>
    </w:div>
    <w:div w:id="420226040">
      <w:bodyDiv w:val="1"/>
      <w:marLeft w:val="0"/>
      <w:marRight w:val="0"/>
      <w:marTop w:val="0"/>
      <w:marBottom w:val="0"/>
      <w:divBdr>
        <w:top w:val="none" w:sz="0" w:space="0" w:color="auto"/>
        <w:left w:val="none" w:sz="0" w:space="0" w:color="auto"/>
        <w:bottom w:val="none" w:sz="0" w:space="0" w:color="auto"/>
        <w:right w:val="none" w:sz="0" w:space="0" w:color="auto"/>
      </w:divBdr>
    </w:div>
    <w:div w:id="423914226">
      <w:bodyDiv w:val="1"/>
      <w:marLeft w:val="0"/>
      <w:marRight w:val="0"/>
      <w:marTop w:val="0"/>
      <w:marBottom w:val="0"/>
      <w:divBdr>
        <w:top w:val="none" w:sz="0" w:space="0" w:color="auto"/>
        <w:left w:val="none" w:sz="0" w:space="0" w:color="auto"/>
        <w:bottom w:val="none" w:sz="0" w:space="0" w:color="auto"/>
        <w:right w:val="none" w:sz="0" w:space="0" w:color="auto"/>
      </w:divBdr>
    </w:div>
    <w:div w:id="484057030">
      <w:bodyDiv w:val="1"/>
      <w:marLeft w:val="0"/>
      <w:marRight w:val="0"/>
      <w:marTop w:val="0"/>
      <w:marBottom w:val="0"/>
      <w:divBdr>
        <w:top w:val="none" w:sz="0" w:space="0" w:color="auto"/>
        <w:left w:val="none" w:sz="0" w:space="0" w:color="auto"/>
        <w:bottom w:val="none" w:sz="0" w:space="0" w:color="auto"/>
        <w:right w:val="none" w:sz="0" w:space="0" w:color="auto"/>
      </w:divBdr>
    </w:div>
    <w:div w:id="495192391">
      <w:bodyDiv w:val="1"/>
      <w:marLeft w:val="0"/>
      <w:marRight w:val="0"/>
      <w:marTop w:val="0"/>
      <w:marBottom w:val="0"/>
      <w:divBdr>
        <w:top w:val="none" w:sz="0" w:space="0" w:color="auto"/>
        <w:left w:val="none" w:sz="0" w:space="0" w:color="auto"/>
        <w:bottom w:val="none" w:sz="0" w:space="0" w:color="auto"/>
        <w:right w:val="none" w:sz="0" w:space="0" w:color="auto"/>
      </w:divBdr>
    </w:div>
    <w:div w:id="501161993">
      <w:bodyDiv w:val="1"/>
      <w:marLeft w:val="0"/>
      <w:marRight w:val="0"/>
      <w:marTop w:val="0"/>
      <w:marBottom w:val="0"/>
      <w:divBdr>
        <w:top w:val="none" w:sz="0" w:space="0" w:color="auto"/>
        <w:left w:val="none" w:sz="0" w:space="0" w:color="auto"/>
        <w:bottom w:val="none" w:sz="0" w:space="0" w:color="auto"/>
        <w:right w:val="none" w:sz="0" w:space="0" w:color="auto"/>
      </w:divBdr>
      <w:divsChild>
        <w:div w:id="831676754">
          <w:marLeft w:val="274"/>
          <w:marRight w:val="0"/>
          <w:marTop w:val="0"/>
          <w:marBottom w:val="0"/>
          <w:divBdr>
            <w:top w:val="none" w:sz="0" w:space="0" w:color="auto"/>
            <w:left w:val="none" w:sz="0" w:space="0" w:color="auto"/>
            <w:bottom w:val="none" w:sz="0" w:space="0" w:color="auto"/>
            <w:right w:val="none" w:sz="0" w:space="0" w:color="auto"/>
          </w:divBdr>
        </w:div>
      </w:divsChild>
    </w:div>
    <w:div w:id="540481274">
      <w:bodyDiv w:val="1"/>
      <w:marLeft w:val="0"/>
      <w:marRight w:val="0"/>
      <w:marTop w:val="0"/>
      <w:marBottom w:val="0"/>
      <w:divBdr>
        <w:top w:val="none" w:sz="0" w:space="0" w:color="auto"/>
        <w:left w:val="none" w:sz="0" w:space="0" w:color="auto"/>
        <w:bottom w:val="none" w:sz="0" w:space="0" w:color="auto"/>
        <w:right w:val="none" w:sz="0" w:space="0" w:color="auto"/>
      </w:divBdr>
    </w:div>
    <w:div w:id="570845392">
      <w:bodyDiv w:val="1"/>
      <w:marLeft w:val="0"/>
      <w:marRight w:val="0"/>
      <w:marTop w:val="0"/>
      <w:marBottom w:val="0"/>
      <w:divBdr>
        <w:top w:val="none" w:sz="0" w:space="0" w:color="auto"/>
        <w:left w:val="none" w:sz="0" w:space="0" w:color="auto"/>
        <w:bottom w:val="none" w:sz="0" w:space="0" w:color="auto"/>
        <w:right w:val="none" w:sz="0" w:space="0" w:color="auto"/>
      </w:divBdr>
    </w:div>
    <w:div w:id="585923558">
      <w:bodyDiv w:val="1"/>
      <w:marLeft w:val="0"/>
      <w:marRight w:val="0"/>
      <w:marTop w:val="0"/>
      <w:marBottom w:val="0"/>
      <w:divBdr>
        <w:top w:val="none" w:sz="0" w:space="0" w:color="auto"/>
        <w:left w:val="none" w:sz="0" w:space="0" w:color="auto"/>
        <w:bottom w:val="none" w:sz="0" w:space="0" w:color="auto"/>
        <w:right w:val="none" w:sz="0" w:space="0" w:color="auto"/>
      </w:divBdr>
    </w:div>
    <w:div w:id="697974994">
      <w:bodyDiv w:val="1"/>
      <w:marLeft w:val="0"/>
      <w:marRight w:val="0"/>
      <w:marTop w:val="0"/>
      <w:marBottom w:val="0"/>
      <w:divBdr>
        <w:top w:val="none" w:sz="0" w:space="0" w:color="auto"/>
        <w:left w:val="none" w:sz="0" w:space="0" w:color="auto"/>
        <w:bottom w:val="none" w:sz="0" w:space="0" w:color="auto"/>
        <w:right w:val="none" w:sz="0" w:space="0" w:color="auto"/>
      </w:divBdr>
    </w:div>
    <w:div w:id="742920232">
      <w:bodyDiv w:val="1"/>
      <w:marLeft w:val="0"/>
      <w:marRight w:val="0"/>
      <w:marTop w:val="0"/>
      <w:marBottom w:val="0"/>
      <w:divBdr>
        <w:top w:val="none" w:sz="0" w:space="0" w:color="auto"/>
        <w:left w:val="none" w:sz="0" w:space="0" w:color="auto"/>
        <w:bottom w:val="none" w:sz="0" w:space="0" w:color="auto"/>
        <w:right w:val="none" w:sz="0" w:space="0" w:color="auto"/>
      </w:divBdr>
    </w:div>
    <w:div w:id="807669913">
      <w:bodyDiv w:val="1"/>
      <w:marLeft w:val="0"/>
      <w:marRight w:val="0"/>
      <w:marTop w:val="0"/>
      <w:marBottom w:val="0"/>
      <w:divBdr>
        <w:top w:val="none" w:sz="0" w:space="0" w:color="auto"/>
        <w:left w:val="none" w:sz="0" w:space="0" w:color="auto"/>
        <w:bottom w:val="none" w:sz="0" w:space="0" w:color="auto"/>
        <w:right w:val="none" w:sz="0" w:space="0" w:color="auto"/>
      </w:divBdr>
    </w:div>
    <w:div w:id="823931635">
      <w:bodyDiv w:val="1"/>
      <w:marLeft w:val="0"/>
      <w:marRight w:val="0"/>
      <w:marTop w:val="0"/>
      <w:marBottom w:val="0"/>
      <w:divBdr>
        <w:top w:val="none" w:sz="0" w:space="0" w:color="auto"/>
        <w:left w:val="none" w:sz="0" w:space="0" w:color="auto"/>
        <w:bottom w:val="none" w:sz="0" w:space="0" w:color="auto"/>
        <w:right w:val="none" w:sz="0" w:space="0" w:color="auto"/>
      </w:divBdr>
    </w:div>
    <w:div w:id="843319156">
      <w:bodyDiv w:val="1"/>
      <w:marLeft w:val="0"/>
      <w:marRight w:val="0"/>
      <w:marTop w:val="0"/>
      <w:marBottom w:val="0"/>
      <w:divBdr>
        <w:top w:val="none" w:sz="0" w:space="0" w:color="auto"/>
        <w:left w:val="none" w:sz="0" w:space="0" w:color="auto"/>
        <w:bottom w:val="none" w:sz="0" w:space="0" w:color="auto"/>
        <w:right w:val="none" w:sz="0" w:space="0" w:color="auto"/>
      </w:divBdr>
    </w:div>
    <w:div w:id="877665660">
      <w:bodyDiv w:val="1"/>
      <w:marLeft w:val="0"/>
      <w:marRight w:val="0"/>
      <w:marTop w:val="0"/>
      <w:marBottom w:val="0"/>
      <w:divBdr>
        <w:top w:val="none" w:sz="0" w:space="0" w:color="auto"/>
        <w:left w:val="none" w:sz="0" w:space="0" w:color="auto"/>
        <w:bottom w:val="none" w:sz="0" w:space="0" w:color="auto"/>
        <w:right w:val="none" w:sz="0" w:space="0" w:color="auto"/>
      </w:divBdr>
    </w:div>
    <w:div w:id="884174414">
      <w:bodyDiv w:val="1"/>
      <w:marLeft w:val="0"/>
      <w:marRight w:val="0"/>
      <w:marTop w:val="0"/>
      <w:marBottom w:val="0"/>
      <w:divBdr>
        <w:top w:val="none" w:sz="0" w:space="0" w:color="auto"/>
        <w:left w:val="none" w:sz="0" w:space="0" w:color="auto"/>
        <w:bottom w:val="none" w:sz="0" w:space="0" w:color="auto"/>
        <w:right w:val="none" w:sz="0" w:space="0" w:color="auto"/>
      </w:divBdr>
    </w:div>
    <w:div w:id="963272595">
      <w:bodyDiv w:val="1"/>
      <w:marLeft w:val="0"/>
      <w:marRight w:val="0"/>
      <w:marTop w:val="0"/>
      <w:marBottom w:val="0"/>
      <w:divBdr>
        <w:top w:val="none" w:sz="0" w:space="0" w:color="auto"/>
        <w:left w:val="none" w:sz="0" w:space="0" w:color="auto"/>
        <w:bottom w:val="none" w:sz="0" w:space="0" w:color="auto"/>
        <w:right w:val="none" w:sz="0" w:space="0" w:color="auto"/>
      </w:divBdr>
    </w:div>
    <w:div w:id="987905429">
      <w:bodyDiv w:val="1"/>
      <w:marLeft w:val="0"/>
      <w:marRight w:val="0"/>
      <w:marTop w:val="0"/>
      <w:marBottom w:val="0"/>
      <w:divBdr>
        <w:top w:val="none" w:sz="0" w:space="0" w:color="auto"/>
        <w:left w:val="none" w:sz="0" w:space="0" w:color="auto"/>
        <w:bottom w:val="none" w:sz="0" w:space="0" w:color="auto"/>
        <w:right w:val="none" w:sz="0" w:space="0" w:color="auto"/>
      </w:divBdr>
    </w:div>
    <w:div w:id="1017119047">
      <w:bodyDiv w:val="1"/>
      <w:marLeft w:val="0"/>
      <w:marRight w:val="0"/>
      <w:marTop w:val="0"/>
      <w:marBottom w:val="0"/>
      <w:divBdr>
        <w:top w:val="none" w:sz="0" w:space="0" w:color="auto"/>
        <w:left w:val="none" w:sz="0" w:space="0" w:color="auto"/>
        <w:bottom w:val="none" w:sz="0" w:space="0" w:color="auto"/>
        <w:right w:val="none" w:sz="0" w:space="0" w:color="auto"/>
      </w:divBdr>
    </w:div>
    <w:div w:id="1022709665">
      <w:bodyDiv w:val="1"/>
      <w:marLeft w:val="0"/>
      <w:marRight w:val="0"/>
      <w:marTop w:val="0"/>
      <w:marBottom w:val="0"/>
      <w:divBdr>
        <w:top w:val="none" w:sz="0" w:space="0" w:color="auto"/>
        <w:left w:val="none" w:sz="0" w:space="0" w:color="auto"/>
        <w:bottom w:val="none" w:sz="0" w:space="0" w:color="auto"/>
        <w:right w:val="none" w:sz="0" w:space="0" w:color="auto"/>
      </w:divBdr>
    </w:div>
    <w:div w:id="1039471829">
      <w:bodyDiv w:val="1"/>
      <w:marLeft w:val="0"/>
      <w:marRight w:val="0"/>
      <w:marTop w:val="0"/>
      <w:marBottom w:val="0"/>
      <w:divBdr>
        <w:top w:val="none" w:sz="0" w:space="0" w:color="auto"/>
        <w:left w:val="none" w:sz="0" w:space="0" w:color="auto"/>
        <w:bottom w:val="none" w:sz="0" w:space="0" w:color="auto"/>
        <w:right w:val="none" w:sz="0" w:space="0" w:color="auto"/>
      </w:divBdr>
    </w:div>
    <w:div w:id="1080492081">
      <w:bodyDiv w:val="1"/>
      <w:marLeft w:val="0"/>
      <w:marRight w:val="0"/>
      <w:marTop w:val="0"/>
      <w:marBottom w:val="0"/>
      <w:divBdr>
        <w:top w:val="none" w:sz="0" w:space="0" w:color="auto"/>
        <w:left w:val="none" w:sz="0" w:space="0" w:color="auto"/>
        <w:bottom w:val="none" w:sz="0" w:space="0" w:color="auto"/>
        <w:right w:val="none" w:sz="0" w:space="0" w:color="auto"/>
      </w:divBdr>
    </w:div>
    <w:div w:id="1096484997">
      <w:bodyDiv w:val="1"/>
      <w:marLeft w:val="0"/>
      <w:marRight w:val="0"/>
      <w:marTop w:val="0"/>
      <w:marBottom w:val="0"/>
      <w:divBdr>
        <w:top w:val="none" w:sz="0" w:space="0" w:color="auto"/>
        <w:left w:val="none" w:sz="0" w:space="0" w:color="auto"/>
        <w:bottom w:val="none" w:sz="0" w:space="0" w:color="auto"/>
        <w:right w:val="none" w:sz="0" w:space="0" w:color="auto"/>
      </w:divBdr>
    </w:div>
    <w:div w:id="1170604451">
      <w:bodyDiv w:val="1"/>
      <w:marLeft w:val="0"/>
      <w:marRight w:val="0"/>
      <w:marTop w:val="0"/>
      <w:marBottom w:val="0"/>
      <w:divBdr>
        <w:top w:val="none" w:sz="0" w:space="0" w:color="auto"/>
        <w:left w:val="none" w:sz="0" w:space="0" w:color="auto"/>
        <w:bottom w:val="none" w:sz="0" w:space="0" w:color="auto"/>
        <w:right w:val="none" w:sz="0" w:space="0" w:color="auto"/>
      </w:divBdr>
    </w:div>
    <w:div w:id="1178077221">
      <w:bodyDiv w:val="1"/>
      <w:marLeft w:val="0"/>
      <w:marRight w:val="0"/>
      <w:marTop w:val="0"/>
      <w:marBottom w:val="0"/>
      <w:divBdr>
        <w:top w:val="none" w:sz="0" w:space="0" w:color="auto"/>
        <w:left w:val="none" w:sz="0" w:space="0" w:color="auto"/>
        <w:bottom w:val="none" w:sz="0" w:space="0" w:color="auto"/>
        <w:right w:val="none" w:sz="0" w:space="0" w:color="auto"/>
      </w:divBdr>
    </w:div>
    <w:div w:id="1218590780">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1349524047">
      <w:bodyDiv w:val="1"/>
      <w:marLeft w:val="0"/>
      <w:marRight w:val="0"/>
      <w:marTop w:val="0"/>
      <w:marBottom w:val="0"/>
      <w:divBdr>
        <w:top w:val="none" w:sz="0" w:space="0" w:color="auto"/>
        <w:left w:val="none" w:sz="0" w:space="0" w:color="auto"/>
        <w:bottom w:val="none" w:sz="0" w:space="0" w:color="auto"/>
        <w:right w:val="none" w:sz="0" w:space="0" w:color="auto"/>
      </w:divBdr>
    </w:div>
    <w:div w:id="1417435575">
      <w:bodyDiv w:val="1"/>
      <w:marLeft w:val="0"/>
      <w:marRight w:val="0"/>
      <w:marTop w:val="0"/>
      <w:marBottom w:val="0"/>
      <w:divBdr>
        <w:top w:val="none" w:sz="0" w:space="0" w:color="auto"/>
        <w:left w:val="none" w:sz="0" w:space="0" w:color="auto"/>
        <w:bottom w:val="none" w:sz="0" w:space="0" w:color="auto"/>
        <w:right w:val="none" w:sz="0" w:space="0" w:color="auto"/>
      </w:divBdr>
    </w:div>
    <w:div w:id="1498888776">
      <w:bodyDiv w:val="1"/>
      <w:marLeft w:val="0"/>
      <w:marRight w:val="0"/>
      <w:marTop w:val="0"/>
      <w:marBottom w:val="0"/>
      <w:divBdr>
        <w:top w:val="none" w:sz="0" w:space="0" w:color="auto"/>
        <w:left w:val="none" w:sz="0" w:space="0" w:color="auto"/>
        <w:bottom w:val="none" w:sz="0" w:space="0" w:color="auto"/>
        <w:right w:val="none" w:sz="0" w:space="0" w:color="auto"/>
      </w:divBdr>
    </w:div>
    <w:div w:id="1516192899">
      <w:bodyDiv w:val="1"/>
      <w:marLeft w:val="0"/>
      <w:marRight w:val="0"/>
      <w:marTop w:val="0"/>
      <w:marBottom w:val="0"/>
      <w:divBdr>
        <w:top w:val="none" w:sz="0" w:space="0" w:color="auto"/>
        <w:left w:val="none" w:sz="0" w:space="0" w:color="auto"/>
        <w:bottom w:val="none" w:sz="0" w:space="0" w:color="auto"/>
        <w:right w:val="none" w:sz="0" w:space="0" w:color="auto"/>
      </w:divBdr>
    </w:div>
    <w:div w:id="1549368213">
      <w:bodyDiv w:val="1"/>
      <w:marLeft w:val="0"/>
      <w:marRight w:val="0"/>
      <w:marTop w:val="0"/>
      <w:marBottom w:val="0"/>
      <w:divBdr>
        <w:top w:val="none" w:sz="0" w:space="0" w:color="auto"/>
        <w:left w:val="none" w:sz="0" w:space="0" w:color="auto"/>
        <w:bottom w:val="none" w:sz="0" w:space="0" w:color="auto"/>
        <w:right w:val="none" w:sz="0" w:space="0" w:color="auto"/>
      </w:divBdr>
    </w:div>
    <w:div w:id="1604461199">
      <w:bodyDiv w:val="1"/>
      <w:marLeft w:val="0"/>
      <w:marRight w:val="0"/>
      <w:marTop w:val="0"/>
      <w:marBottom w:val="0"/>
      <w:divBdr>
        <w:top w:val="none" w:sz="0" w:space="0" w:color="auto"/>
        <w:left w:val="none" w:sz="0" w:space="0" w:color="auto"/>
        <w:bottom w:val="none" w:sz="0" w:space="0" w:color="auto"/>
        <w:right w:val="none" w:sz="0" w:space="0" w:color="auto"/>
      </w:divBdr>
      <w:divsChild>
        <w:div w:id="3362356">
          <w:marLeft w:val="274"/>
          <w:marRight w:val="0"/>
          <w:marTop w:val="0"/>
          <w:marBottom w:val="0"/>
          <w:divBdr>
            <w:top w:val="none" w:sz="0" w:space="0" w:color="auto"/>
            <w:left w:val="none" w:sz="0" w:space="0" w:color="auto"/>
            <w:bottom w:val="none" w:sz="0" w:space="0" w:color="auto"/>
            <w:right w:val="none" w:sz="0" w:space="0" w:color="auto"/>
          </w:divBdr>
        </w:div>
        <w:div w:id="1689676973">
          <w:marLeft w:val="274"/>
          <w:marRight w:val="0"/>
          <w:marTop w:val="0"/>
          <w:marBottom w:val="0"/>
          <w:divBdr>
            <w:top w:val="none" w:sz="0" w:space="0" w:color="auto"/>
            <w:left w:val="none" w:sz="0" w:space="0" w:color="auto"/>
            <w:bottom w:val="none" w:sz="0" w:space="0" w:color="auto"/>
            <w:right w:val="none" w:sz="0" w:space="0" w:color="auto"/>
          </w:divBdr>
        </w:div>
        <w:div w:id="1941836063">
          <w:marLeft w:val="274"/>
          <w:marRight w:val="0"/>
          <w:marTop w:val="0"/>
          <w:marBottom w:val="0"/>
          <w:divBdr>
            <w:top w:val="none" w:sz="0" w:space="0" w:color="auto"/>
            <w:left w:val="none" w:sz="0" w:space="0" w:color="auto"/>
            <w:bottom w:val="none" w:sz="0" w:space="0" w:color="auto"/>
            <w:right w:val="none" w:sz="0" w:space="0" w:color="auto"/>
          </w:divBdr>
        </w:div>
        <w:div w:id="2100326374">
          <w:marLeft w:val="274"/>
          <w:marRight w:val="0"/>
          <w:marTop w:val="0"/>
          <w:marBottom w:val="0"/>
          <w:divBdr>
            <w:top w:val="none" w:sz="0" w:space="0" w:color="auto"/>
            <w:left w:val="none" w:sz="0" w:space="0" w:color="auto"/>
            <w:bottom w:val="none" w:sz="0" w:space="0" w:color="auto"/>
            <w:right w:val="none" w:sz="0" w:space="0" w:color="auto"/>
          </w:divBdr>
        </w:div>
      </w:divsChild>
    </w:div>
    <w:div w:id="1613436018">
      <w:bodyDiv w:val="1"/>
      <w:marLeft w:val="0"/>
      <w:marRight w:val="0"/>
      <w:marTop w:val="0"/>
      <w:marBottom w:val="0"/>
      <w:divBdr>
        <w:top w:val="none" w:sz="0" w:space="0" w:color="auto"/>
        <w:left w:val="none" w:sz="0" w:space="0" w:color="auto"/>
        <w:bottom w:val="none" w:sz="0" w:space="0" w:color="auto"/>
        <w:right w:val="none" w:sz="0" w:space="0" w:color="auto"/>
      </w:divBdr>
    </w:div>
    <w:div w:id="1631207960">
      <w:bodyDiv w:val="1"/>
      <w:marLeft w:val="0"/>
      <w:marRight w:val="0"/>
      <w:marTop w:val="0"/>
      <w:marBottom w:val="0"/>
      <w:divBdr>
        <w:top w:val="none" w:sz="0" w:space="0" w:color="auto"/>
        <w:left w:val="none" w:sz="0" w:space="0" w:color="auto"/>
        <w:bottom w:val="none" w:sz="0" w:space="0" w:color="auto"/>
        <w:right w:val="none" w:sz="0" w:space="0" w:color="auto"/>
      </w:divBdr>
    </w:div>
    <w:div w:id="1651714975">
      <w:bodyDiv w:val="1"/>
      <w:marLeft w:val="0"/>
      <w:marRight w:val="0"/>
      <w:marTop w:val="0"/>
      <w:marBottom w:val="0"/>
      <w:divBdr>
        <w:top w:val="none" w:sz="0" w:space="0" w:color="auto"/>
        <w:left w:val="none" w:sz="0" w:space="0" w:color="auto"/>
        <w:bottom w:val="none" w:sz="0" w:space="0" w:color="auto"/>
        <w:right w:val="none" w:sz="0" w:space="0" w:color="auto"/>
      </w:divBdr>
    </w:div>
    <w:div w:id="1659726146">
      <w:bodyDiv w:val="1"/>
      <w:marLeft w:val="0"/>
      <w:marRight w:val="0"/>
      <w:marTop w:val="0"/>
      <w:marBottom w:val="0"/>
      <w:divBdr>
        <w:top w:val="none" w:sz="0" w:space="0" w:color="auto"/>
        <w:left w:val="none" w:sz="0" w:space="0" w:color="auto"/>
        <w:bottom w:val="none" w:sz="0" w:space="0" w:color="auto"/>
        <w:right w:val="none" w:sz="0" w:space="0" w:color="auto"/>
      </w:divBdr>
    </w:div>
    <w:div w:id="1674648854">
      <w:bodyDiv w:val="1"/>
      <w:marLeft w:val="0"/>
      <w:marRight w:val="0"/>
      <w:marTop w:val="0"/>
      <w:marBottom w:val="0"/>
      <w:divBdr>
        <w:top w:val="none" w:sz="0" w:space="0" w:color="auto"/>
        <w:left w:val="none" w:sz="0" w:space="0" w:color="auto"/>
        <w:bottom w:val="none" w:sz="0" w:space="0" w:color="auto"/>
        <w:right w:val="none" w:sz="0" w:space="0" w:color="auto"/>
      </w:divBdr>
    </w:div>
    <w:div w:id="1683701550">
      <w:bodyDiv w:val="1"/>
      <w:marLeft w:val="0"/>
      <w:marRight w:val="0"/>
      <w:marTop w:val="0"/>
      <w:marBottom w:val="0"/>
      <w:divBdr>
        <w:top w:val="none" w:sz="0" w:space="0" w:color="auto"/>
        <w:left w:val="none" w:sz="0" w:space="0" w:color="auto"/>
        <w:bottom w:val="none" w:sz="0" w:space="0" w:color="auto"/>
        <w:right w:val="none" w:sz="0" w:space="0" w:color="auto"/>
      </w:divBdr>
    </w:div>
    <w:div w:id="1688173648">
      <w:bodyDiv w:val="1"/>
      <w:marLeft w:val="0"/>
      <w:marRight w:val="0"/>
      <w:marTop w:val="0"/>
      <w:marBottom w:val="0"/>
      <w:divBdr>
        <w:top w:val="none" w:sz="0" w:space="0" w:color="auto"/>
        <w:left w:val="none" w:sz="0" w:space="0" w:color="auto"/>
        <w:bottom w:val="none" w:sz="0" w:space="0" w:color="auto"/>
        <w:right w:val="none" w:sz="0" w:space="0" w:color="auto"/>
      </w:divBdr>
    </w:div>
    <w:div w:id="1710449652">
      <w:bodyDiv w:val="1"/>
      <w:marLeft w:val="0"/>
      <w:marRight w:val="0"/>
      <w:marTop w:val="0"/>
      <w:marBottom w:val="0"/>
      <w:divBdr>
        <w:top w:val="none" w:sz="0" w:space="0" w:color="auto"/>
        <w:left w:val="none" w:sz="0" w:space="0" w:color="auto"/>
        <w:bottom w:val="none" w:sz="0" w:space="0" w:color="auto"/>
        <w:right w:val="none" w:sz="0" w:space="0" w:color="auto"/>
      </w:divBdr>
    </w:div>
    <w:div w:id="1844468566">
      <w:bodyDiv w:val="1"/>
      <w:marLeft w:val="0"/>
      <w:marRight w:val="0"/>
      <w:marTop w:val="0"/>
      <w:marBottom w:val="0"/>
      <w:divBdr>
        <w:top w:val="none" w:sz="0" w:space="0" w:color="auto"/>
        <w:left w:val="none" w:sz="0" w:space="0" w:color="auto"/>
        <w:bottom w:val="none" w:sz="0" w:space="0" w:color="auto"/>
        <w:right w:val="none" w:sz="0" w:space="0" w:color="auto"/>
      </w:divBdr>
    </w:div>
    <w:div w:id="1863281566">
      <w:bodyDiv w:val="1"/>
      <w:marLeft w:val="0"/>
      <w:marRight w:val="0"/>
      <w:marTop w:val="0"/>
      <w:marBottom w:val="0"/>
      <w:divBdr>
        <w:top w:val="none" w:sz="0" w:space="0" w:color="auto"/>
        <w:left w:val="none" w:sz="0" w:space="0" w:color="auto"/>
        <w:bottom w:val="none" w:sz="0" w:space="0" w:color="auto"/>
        <w:right w:val="none" w:sz="0" w:space="0" w:color="auto"/>
      </w:divBdr>
    </w:div>
    <w:div w:id="1870489279">
      <w:bodyDiv w:val="1"/>
      <w:marLeft w:val="0"/>
      <w:marRight w:val="0"/>
      <w:marTop w:val="0"/>
      <w:marBottom w:val="0"/>
      <w:divBdr>
        <w:top w:val="none" w:sz="0" w:space="0" w:color="auto"/>
        <w:left w:val="none" w:sz="0" w:space="0" w:color="auto"/>
        <w:bottom w:val="none" w:sz="0" w:space="0" w:color="auto"/>
        <w:right w:val="none" w:sz="0" w:space="0" w:color="auto"/>
      </w:divBdr>
    </w:div>
    <w:div w:id="1876456297">
      <w:bodyDiv w:val="1"/>
      <w:marLeft w:val="0"/>
      <w:marRight w:val="0"/>
      <w:marTop w:val="0"/>
      <w:marBottom w:val="0"/>
      <w:divBdr>
        <w:top w:val="none" w:sz="0" w:space="0" w:color="auto"/>
        <w:left w:val="none" w:sz="0" w:space="0" w:color="auto"/>
        <w:bottom w:val="none" w:sz="0" w:space="0" w:color="auto"/>
        <w:right w:val="none" w:sz="0" w:space="0" w:color="auto"/>
      </w:divBdr>
    </w:div>
    <w:div w:id="1899511849">
      <w:bodyDiv w:val="1"/>
      <w:marLeft w:val="0"/>
      <w:marRight w:val="0"/>
      <w:marTop w:val="0"/>
      <w:marBottom w:val="0"/>
      <w:divBdr>
        <w:top w:val="none" w:sz="0" w:space="0" w:color="auto"/>
        <w:left w:val="none" w:sz="0" w:space="0" w:color="auto"/>
        <w:bottom w:val="none" w:sz="0" w:space="0" w:color="auto"/>
        <w:right w:val="none" w:sz="0" w:space="0" w:color="auto"/>
      </w:divBdr>
    </w:div>
    <w:div w:id="1955549725">
      <w:bodyDiv w:val="1"/>
      <w:marLeft w:val="0"/>
      <w:marRight w:val="0"/>
      <w:marTop w:val="0"/>
      <w:marBottom w:val="0"/>
      <w:divBdr>
        <w:top w:val="none" w:sz="0" w:space="0" w:color="auto"/>
        <w:left w:val="none" w:sz="0" w:space="0" w:color="auto"/>
        <w:bottom w:val="none" w:sz="0" w:space="0" w:color="auto"/>
        <w:right w:val="none" w:sz="0" w:space="0" w:color="auto"/>
      </w:divBdr>
    </w:div>
    <w:div w:id="1963531771">
      <w:bodyDiv w:val="1"/>
      <w:marLeft w:val="0"/>
      <w:marRight w:val="0"/>
      <w:marTop w:val="0"/>
      <w:marBottom w:val="0"/>
      <w:divBdr>
        <w:top w:val="none" w:sz="0" w:space="0" w:color="auto"/>
        <w:left w:val="none" w:sz="0" w:space="0" w:color="auto"/>
        <w:bottom w:val="none" w:sz="0" w:space="0" w:color="auto"/>
        <w:right w:val="none" w:sz="0" w:space="0" w:color="auto"/>
      </w:divBdr>
    </w:div>
    <w:div w:id="202547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lectraNet">
  <a:themeElements>
    <a:clrScheme name="ElectraNet_Colours">
      <a:dk1>
        <a:srgbClr val="000000"/>
      </a:dk1>
      <a:lt1>
        <a:srgbClr val="FFFFFF"/>
      </a:lt1>
      <a:dk2>
        <a:srgbClr val="000000"/>
      </a:dk2>
      <a:lt2>
        <a:srgbClr val="FFFFFF"/>
      </a:lt2>
      <a:accent1>
        <a:srgbClr val="203136"/>
      </a:accent1>
      <a:accent2>
        <a:srgbClr val="DDFC70"/>
      </a:accent2>
      <a:accent3>
        <a:srgbClr val="D5C8B6"/>
      </a:accent3>
      <a:accent4>
        <a:srgbClr val="889EA6"/>
      </a:accent4>
      <a:accent5>
        <a:srgbClr val="B8D0EC"/>
      </a:accent5>
      <a:accent6>
        <a:srgbClr val="C4EC9A"/>
      </a:accent6>
      <a:hlink>
        <a:srgbClr val="0563C1"/>
      </a:hlink>
      <a:folHlink>
        <a:srgbClr val="000000"/>
      </a:folHlink>
    </a:clrScheme>
    <a:fontScheme name="ElectraNet_Fonts">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ECVictoria" id="{1810C275-0D71-489F-A1C7-0461C043F732}" vid="{8A881BF8-BB1C-4B47-881D-3E3CD8734F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182BC878BD4E4AA013B0C98550735D" ma:contentTypeVersion="14" ma:contentTypeDescription="Create a new document." ma:contentTypeScope="" ma:versionID="78aaf79946266d8fe5589d75bcbd1cdf">
  <xsd:schema xmlns:xsd="http://www.w3.org/2001/XMLSchema" xmlns:xs="http://www.w3.org/2001/XMLSchema" xmlns:p="http://schemas.microsoft.com/office/2006/metadata/properties" xmlns:ns2="3aeaaa61-106a-4448-8e32-4ca32db55311" xmlns:ns3="9701c3e0-09bf-4c99-9c34-ec795fe2224f" targetNamespace="http://schemas.microsoft.com/office/2006/metadata/properties" ma:root="true" ma:fieldsID="3762aecbc734461530242f095a7dbdfa" ns2:_="" ns3:_="">
    <xsd:import namespace="3aeaaa61-106a-4448-8e32-4ca32db55311"/>
    <xsd:import namespace="9701c3e0-09bf-4c99-9c34-ec795fe222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aaa61-106a-4448-8e32-4ca32db55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cb3928-98fe-45c2-b1b5-7ed5a1e82c6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1c3e0-09bf-4c99-9c34-ec795fe2224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a96a1b7-f9e9-4a6b-8c7d-0bf815d1e33d}" ma:internalName="TaxCatchAll" ma:showField="CatchAllData" ma:web="9701c3e0-09bf-4c99-9c34-ec795fe222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eaaa61-106a-4448-8e32-4ca32db55311">
      <Terms xmlns="http://schemas.microsoft.com/office/infopath/2007/PartnerControls"/>
    </lcf76f155ced4ddcb4097134ff3c332f>
    <TaxCatchAll xmlns="9701c3e0-09bf-4c99-9c34-ec795fe2224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7162B-EED3-4DC3-9DF5-64B1429A31B8}">
  <ds:schemaRefs>
    <ds:schemaRef ds:uri="http://schemas.microsoft.com/sharepoint/v3/contenttype/forms"/>
  </ds:schemaRefs>
</ds:datastoreItem>
</file>

<file path=customXml/itemProps2.xml><?xml version="1.0" encoding="utf-8"?>
<ds:datastoreItem xmlns:ds="http://schemas.openxmlformats.org/officeDocument/2006/customXml" ds:itemID="{97D1A8A3-FF46-4A14-87C8-60EBCEADE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aaa61-106a-4448-8e32-4ca32db55311"/>
    <ds:schemaRef ds:uri="9701c3e0-09bf-4c99-9c34-ec795fe22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B609BA-71C1-4A50-85BD-16E7C23166CD}">
  <ds:schemaRefs>
    <ds:schemaRef ds:uri="http://schemas.microsoft.com/office/2006/metadata/properties"/>
    <ds:schemaRef ds:uri="http://schemas.microsoft.com/office/infopath/2007/PartnerControls"/>
    <ds:schemaRef ds:uri="3aeaaa61-106a-4448-8e32-4ca32db55311"/>
    <ds:schemaRef ds:uri="9701c3e0-09bf-4c99-9c34-ec795fe2224f"/>
  </ds:schemaRefs>
</ds:datastoreItem>
</file>

<file path=customXml/itemProps4.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2530</Words>
  <Characters>14967</Characters>
  <Application>Microsoft Office Word</Application>
  <DocSecurity>4</DocSecurity>
  <Lines>357</Lines>
  <Paragraphs>206</Paragraphs>
  <ScaleCrop>false</ScaleCrop>
  <Company>ElectraNet Pty Ltd</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Alycia (ENet)</dc:creator>
  <cp:keywords/>
  <dc:description/>
  <cp:lastModifiedBy>Martin, Alycia (ENet)</cp:lastModifiedBy>
  <cp:revision>58</cp:revision>
  <cp:lastPrinted>2022-06-10T23:28:00Z</cp:lastPrinted>
  <dcterms:created xsi:type="dcterms:W3CDTF">2025-09-08T22:02:00Z</dcterms:created>
  <dcterms:modified xsi:type="dcterms:W3CDTF">2025-11-20T04:56:00Z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0x010100F1182BC878BD4E4AA013B0C98550735D</vt:lpwstr>
  </property>
  <property fmtid="{D5CDD505-2E9C-101B-9397-08002B2CF9AE}" pid="3" name="MediaServiceImageTags">
    <vt:lpwstr/>
  </property>
</Properties>
</file>