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4A2D9" w14:textId="46569A9B" w:rsidR="004606CD" w:rsidRPr="00EF6BD2" w:rsidRDefault="004606CD" w:rsidP="00AE59A2">
      <w:pPr>
        <w:pStyle w:val="Heading1"/>
        <w:jc w:val="center"/>
        <w:rPr>
          <w:rFonts w:asciiTheme="minorHAnsi" w:hAnsiTheme="minorHAnsi" w:cstheme="minorHAnsi"/>
        </w:rPr>
      </w:pPr>
      <w:r w:rsidRPr="00EF6BD2">
        <w:rPr>
          <w:rFonts w:asciiTheme="minorHAnsi" w:hAnsiTheme="minorHAnsi" w:cstheme="minorHAnsi"/>
        </w:rPr>
        <w:t>Consumer Advisory Panel Meeting #3</w:t>
      </w:r>
      <w:r w:rsidR="00C83D31" w:rsidRPr="00EF6BD2">
        <w:rPr>
          <w:rFonts w:asciiTheme="minorHAnsi" w:hAnsiTheme="minorHAnsi" w:cstheme="minorHAnsi"/>
        </w:rPr>
        <w:t>9</w:t>
      </w:r>
      <w:r w:rsidRPr="00EF6BD2">
        <w:rPr>
          <w:rFonts w:asciiTheme="minorHAnsi" w:hAnsiTheme="minorHAnsi" w:cstheme="minorHAnsi"/>
        </w:rPr>
        <w:t xml:space="preserve"> </w:t>
      </w:r>
      <w:r w:rsidR="00970FA3" w:rsidRPr="00EF6BD2">
        <w:rPr>
          <w:rFonts w:asciiTheme="minorHAnsi" w:hAnsiTheme="minorHAnsi" w:cstheme="minorHAnsi"/>
        </w:rPr>
        <w:t>–</w:t>
      </w:r>
      <w:r w:rsidR="00C83D31" w:rsidRPr="00EF6BD2">
        <w:rPr>
          <w:rFonts w:asciiTheme="minorHAnsi" w:hAnsiTheme="minorHAnsi" w:cstheme="minorHAnsi"/>
        </w:rPr>
        <w:t xml:space="preserve">26 November </w:t>
      </w:r>
      <w:r w:rsidR="00040701" w:rsidRPr="00EF6BD2">
        <w:rPr>
          <w:rFonts w:asciiTheme="minorHAnsi" w:hAnsiTheme="minorHAnsi" w:cstheme="minorHAnsi"/>
        </w:rPr>
        <w:t>2025</w:t>
      </w:r>
      <w:r w:rsidR="003E3934">
        <w:rPr>
          <w:rFonts w:asciiTheme="minorHAnsi" w:hAnsiTheme="minorHAnsi" w:cstheme="minorHAnsi"/>
        </w:rPr>
        <w:t xml:space="preserve"> </w:t>
      </w:r>
      <w:r w:rsidR="003E3934" w:rsidRPr="00EF6BD2">
        <w:rPr>
          <w:rFonts w:asciiTheme="minorHAnsi" w:hAnsiTheme="minorHAnsi" w:cstheme="minorHAnsi"/>
        </w:rPr>
        <w:t>Minutes</w:t>
      </w:r>
    </w:p>
    <w:tbl>
      <w:tblPr>
        <w:tblStyle w:val="TableElectraNet"/>
        <w:tblW w:w="9214" w:type="dxa"/>
        <w:tblLayout w:type="fixed"/>
        <w:tblLook w:val="01E0" w:firstRow="1" w:lastRow="1" w:firstColumn="1" w:lastColumn="1" w:noHBand="0" w:noVBand="0"/>
      </w:tblPr>
      <w:tblGrid>
        <w:gridCol w:w="2267"/>
        <w:gridCol w:w="4821"/>
        <w:gridCol w:w="2126"/>
      </w:tblGrid>
      <w:tr w:rsidR="004606CD" w:rsidRPr="00EF6BD2" w14:paraId="437453BE" w14:textId="77777777">
        <w:trPr>
          <w:cnfStyle w:val="100000000000" w:firstRow="1" w:lastRow="0" w:firstColumn="0" w:lastColumn="0" w:oddVBand="0" w:evenVBand="0" w:oddHBand="0" w:evenHBand="0" w:firstRowFirstColumn="0" w:firstRowLastColumn="0" w:lastRowFirstColumn="0" w:lastRowLastColumn="0"/>
          <w:trHeight w:val="219"/>
        </w:trPr>
        <w:tc>
          <w:tcPr>
            <w:tcW w:w="9214" w:type="dxa"/>
            <w:gridSpan w:val="3"/>
            <w:hideMark/>
          </w:tcPr>
          <w:p w14:paraId="3D78196E" w14:textId="77777777" w:rsidR="004606CD" w:rsidRPr="00EF6BD2" w:rsidRDefault="004606CD">
            <w:pPr>
              <w:spacing w:before="0" w:after="0" w:line="240" w:lineRule="auto"/>
              <w:rPr>
                <w:rFonts w:asciiTheme="minorHAnsi" w:hAnsiTheme="minorHAnsi" w:cstheme="minorHAnsi"/>
                <w:b/>
                <w:lang w:val="en-US"/>
              </w:rPr>
            </w:pPr>
            <w:r w:rsidRPr="00EF6BD2">
              <w:rPr>
                <w:rFonts w:asciiTheme="minorHAnsi" w:hAnsiTheme="minorHAnsi" w:cstheme="minorHAnsi"/>
                <w:b/>
                <w:lang w:val="en-US"/>
              </w:rPr>
              <w:t>ATTENDEES</w:t>
            </w:r>
          </w:p>
        </w:tc>
      </w:tr>
      <w:tr w:rsidR="004606CD" w:rsidRPr="00EF6BD2" w14:paraId="28C9FF34" w14:textId="77777777">
        <w:trPr>
          <w:cnfStyle w:val="000000100000" w:firstRow="0" w:lastRow="0" w:firstColumn="0" w:lastColumn="0" w:oddVBand="0" w:evenVBand="0" w:oddHBand="1" w:evenHBand="0" w:firstRowFirstColumn="0" w:firstRowLastColumn="0" w:lastRowFirstColumn="0" w:lastRowLastColumn="0"/>
          <w:trHeight w:val="228"/>
        </w:trPr>
        <w:tc>
          <w:tcPr>
            <w:tcW w:w="2267" w:type="dxa"/>
            <w:hideMark/>
          </w:tcPr>
          <w:p w14:paraId="60BD6BED" w14:textId="77777777" w:rsidR="004606CD" w:rsidRPr="00EF6BD2" w:rsidRDefault="004606CD">
            <w:pPr>
              <w:spacing w:before="0" w:after="0" w:line="240" w:lineRule="auto"/>
              <w:jc w:val="center"/>
              <w:rPr>
                <w:rFonts w:cstheme="minorHAnsi"/>
                <w:b/>
                <w:lang w:val="en-US"/>
              </w:rPr>
            </w:pPr>
            <w:r w:rsidRPr="00EF6BD2">
              <w:rPr>
                <w:rFonts w:cstheme="minorHAnsi"/>
                <w:b/>
                <w:lang w:val="en-US"/>
              </w:rPr>
              <w:t>Name</w:t>
            </w:r>
          </w:p>
        </w:tc>
        <w:tc>
          <w:tcPr>
            <w:tcW w:w="4821" w:type="dxa"/>
            <w:hideMark/>
          </w:tcPr>
          <w:p w14:paraId="5DE23D03" w14:textId="77777777" w:rsidR="004606CD" w:rsidRPr="00EF6BD2" w:rsidRDefault="004606CD">
            <w:pPr>
              <w:spacing w:before="0" w:after="0" w:line="240" w:lineRule="auto"/>
              <w:jc w:val="center"/>
              <w:rPr>
                <w:rFonts w:cstheme="minorHAnsi"/>
                <w:b/>
                <w:lang w:val="en-US"/>
              </w:rPr>
            </w:pPr>
            <w:r w:rsidRPr="00EF6BD2">
              <w:rPr>
                <w:rFonts w:cstheme="minorHAnsi"/>
                <w:b/>
                <w:lang w:val="en-US"/>
              </w:rPr>
              <w:t>Affiliation / Title</w:t>
            </w:r>
          </w:p>
        </w:tc>
        <w:tc>
          <w:tcPr>
            <w:tcW w:w="2126" w:type="dxa"/>
            <w:hideMark/>
          </w:tcPr>
          <w:p w14:paraId="4B4B74BB" w14:textId="77777777" w:rsidR="004606CD" w:rsidRPr="00EF6BD2" w:rsidRDefault="004606CD">
            <w:pPr>
              <w:spacing w:before="0" w:after="0" w:line="240" w:lineRule="auto"/>
              <w:rPr>
                <w:rFonts w:cstheme="minorHAnsi"/>
                <w:b/>
                <w:lang w:val="en-US"/>
              </w:rPr>
            </w:pPr>
            <w:r w:rsidRPr="00EF6BD2">
              <w:rPr>
                <w:rFonts w:cstheme="minorHAnsi"/>
                <w:b/>
                <w:lang w:val="en-US"/>
              </w:rPr>
              <w:t>Attendance</w:t>
            </w:r>
          </w:p>
        </w:tc>
      </w:tr>
      <w:tr w:rsidR="004606CD" w:rsidRPr="00EF6BD2" w14:paraId="692D7601" w14:textId="77777777">
        <w:trPr>
          <w:cnfStyle w:val="000000010000" w:firstRow="0" w:lastRow="0" w:firstColumn="0" w:lastColumn="0" w:oddVBand="0" w:evenVBand="0" w:oddHBand="0" w:evenHBand="1" w:firstRowFirstColumn="0" w:firstRowLastColumn="0" w:lastRowFirstColumn="0" w:lastRowLastColumn="0"/>
          <w:trHeight w:val="274"/>
        </w:trPr>
        <w:tc>
          <w:tcPr>
            <w:tcW w:w="9214" w:type="dxa"/>
            <w:gridSpan w:val="3"/>
            <w:shd w:val="clear" w:color="auto" w:fill="F8FEE2" w:themeFill="accent2" w:themeFillTint="33"/>
            <w:hideMark/>
          </w:tcPr>
          <w:p w14:paraId="68503C7D" w14:textId="77777777" w:rsidR="004606CD" w:rsidRPr="00EF6BD2" w:rsidRDefault="004606CD">
            <w:pPr>
              <w:spacing w:before="0" w:after="0" w:line="240" w:lineRule="auto"/>
              <w:jc w:val="center"/>
              <w:rPr>
                <w:rFonts w:cstheme="minorHAnsi"/>
                <w:b/>
                <w:lang w:val="en-US"/>
              </w:rPr>
            </w:pPr>
            <w:r w:rsidRPr="00EF6BD2">
              <w:rPr>
                <w:rFonts w:cstheme="minorHAnsi"/>
                <w:b/>
                <w:lang w:val="en-US"/>
              </w:rPr>
              <w:t>CAP Members</w:t>
            </w:r>
          </w:p>
        </w:tc>
      </w:tr>
      <w:tr w:rsidR="004606CD" w:rsidRPr="00EF6BD2" w14:paraId="348A7D29" w14:textId="77777777">
        <w:trPr>
          <w:cnfStyle w:val="000000100000" w:firstRow="0" w:lastRow="0" w:firstColumn="0" w:lastColumn="0" w:oddVBand="0" w:evenVBand="0" w:oddHBand="1" w:evenHBand="0" w:firstRowFirstColumn="0" w:firstRowLastColumn="0" w:lastRowFirstColumn="0" w:lastRowLastColumn="0"/>
          <w:trHeight w:val="13"/>
        </w:trPr>
        <w:tc>
          <w:tcPr>
            <w:tcW w:w="2267" w:type="dxa"/>
            <w:hideMark/>
          </w:tcPr>
          <w:p w14:paraId="1014E21A" w14:textId="77777777" w:rsidR="004606CD" w:rsidRPr="00EF6BD2" w:rsidRDefault="004606CD">
            <w:pPr>
              <w:pStyle w:val="TableText"/>
              <w:spacing w:line="240" w:lineRule="auto"/>
              <w:rPr>
                <w:rFonts w:cstheme="minorHAnsi"/>
              </w:rPr>
            </w:pPr>
            <w:r w:rsidRPr="00EF6BD2">
              <w:rPr>
                <w:rFonts w:cstheme="minorHAnsi"/>
              </w:rPr>
              <w:t>Leanne Muffet</w:t>
            </w:r>
          </w:p>
        </w:tc>
        <w:tc>
          <w:tcPr>
            <w:tcW w:w="4821" w:type="dxa"/>
            <w:hideMark/>
          </w:tcPr>
          <w:p w14:paraId="0C32BBD7" w14:textId="77777777" w:rsidR="004606CD" w:rsidRPr="00EF6BD2" w:rsidRDefault="004606CD">
            <w:pPr>
              <w:pStyle w:val="TableText"/>
              <w:spacing w:line="240" w:lineRule="auto"/>
              <w:rPr>
                <w:rFonts w:cstheme="minorHAnsi"/>
              </w:rPr>
            </w:pPr>
            <w:r w:rsidRPr="00EF6BD2">
              <w:rPr>
                <w:rFonts w:cstheme="minorHAnsi"/>
              </w:rPr>
              <w:t xml:space="preserve"> CAP Independent Facilitator</w:t>
            </w:r>
          </w:p>
        </w:tc>
        <w:tc>
          <w:tcPr>
            <w:tcW w:w="2126" w:type="dxa"/>
          </w:tcPr>
          <w:p w14:paraId="115CEA05" w14:textId="77777777" w:rsidR="004606CD" w:rsidRPr="00EF6BD2" w:rsidRDefault="004606CD">
            <w:pPr>
              <w:pStyle w:val="TableText"/>
              <w:spacing w:line="240" w:lineRule="auto"/>
              <w:rPr>
                <w:rFonts w:cstheme="minorHAnsi"/>
              </w:rPr>
            </w:pPr>
            <w:r w:rsidRPr="00EF6BD2">
              <w:rPr>
                <w:rFonts w:cstheme="minorHAnsi"/>
              </w:rPr>
              <w:t>Attended</w:t>
            </w:r>
          </w:p>
        </w:tc>
      </w:tr>
      <w:tr w:rsidR="004606CD" w:rsidRPr="00EF6BD2" w14:paraId="496793AC" w14:textId="77777777">
        <w:trPr>
          <w:cnfStyle w:val="000000010000" w:firstRow="0" w:lastRow="0" w:firstColumn="0" w:lastColumn="0" w:oddVBand="0" w:evenVBand="0" w:oddHBand="0" w:evenHBand="1" w:firstRowFirstColumn="0" w:firstRowLastColumn="0" w:lastRowFirstColumn="0" w:lastRowLastColumn="0"/>
          <w:trHeight w:val="178"/>
        </w:trPr>
        <w:tc>
          <w:tcPr>
            <w:tcW w:w="2267" w:type="dxa"/>
            <w:hideMark/>
          </w:tcPr>
          <w:p w14:paraId="3FF06257" w14:textId="77777777" w:rsidR="004606CD" w:rsidRPr="00EF6BD2" w:rsidRDefault="004606CD">
            <w:pPr>
              <w:pStyle w:val="TableText"/>
              <w:spacing w:line="240" w:lineRule="auto"/>
              <w:rPr>
                <w:rFonts w:cstheme="minorHAnsi"/>
              </w:rPr>
            </w:pPr>
            <w:r w:rsidRPr="00EF6BD2">
              <w:rPr>
                <w:rFonts w:cstheme="minorHAnsi"/>
              </w:rPr>
              <w:t>Andrew Richards</w:t>
            </w:r>
          </w:p>
        </w:tc>
        <w:tc>
          <w:tcPr>
            <w:tcW w:w="4821" w:type="dxa"/>
            <w:hideMark/>
          </w:tcPr>
          <w:p w14:paraId="03F97249" w14:textId="77777777" w:rsidR="004606CD" w:rsidRPr="00EF6BD2" w:rsidRDefault="004606CD">
            <w:pPr>
              <w:pStyle w:val="TableText"/>
              <w:spacing w:line="240" w:lineRule="auto"/>
              <w:rPr>
                <w:rFonts w:cstheme="minorHAnsi"/>
              </w:rPr>
            </w:pPr>
            <w:r w:rsidRPr="00EF6BD2">
              <w:rPr>
                <w:rFonts w:cstheme="minorHAnsi"/>
              </w:rPr>
              <w:t xml:space="preserve"> Energy Users Association Australia </w:t>
            </w:r>
          </w:p>
        </w:tc>
        <w:tc>
          <w:tcPr>
            <w:tcW w:w="2126" w:type="dxa"/>
          </w:tcPr>
          <w:p w14:paraId="13A2035C" w14:textId="496A8CF9" w:rsidR="004606CD" w:rsidRPr="00EF6BD2" w:rsidRDefault="00C83D31">
            <w:pPr>
              <w:pStyle w:val="TableText"/>
              <w:spacing w:line="240" w:lineRule="auto"/>
              <w:rPr>
                <w:rFonts w:cstheme="minorHAnsi"/>
              </w:rPr>
            </w:pPr>
            <w:r w:rsidRPr="00EF6BD2">
              <w:rPr>
                <w:rFonts w:cstheme="minorHAnsi"/>
              </w:rPr>
              <w:t>Attended</w:t>
            </w:r>
          </w:p>
        </w:tc>
      </w:tr>
      <w:tr w:rsidR="004606CD" w:rsidRPr="00EF6BD2" w14:paraId="26431171" w14:textId="77777777">
        <w:trPr>
          <w:cnfStyle w:val="000000100000" w:firstRow="0" w:lastRow="0" w:firstColumn="0" w:lastColumn="0" w:oddVBand="0" w:evenVBand="0" w:oddHBand="1" w:evenHBand="0" w:firstRowFirstColumn="0" w:firstRowLastColumn="0" w:lastRowFirstColumn="0" w:lastRowLastColumn="0"/>
          <w:trHeight w:val="198"/>
        </w:trPr>
        <w:tc>
          <w:tcPr>
            <w:tcW w:w="2267" w:type="dxa"/>
            <w:hideMark/>
          </w:tcPr>
          <w:p w14:paraId="2599109E" w14:textId="77777777" w:rsidR="004606CD" w:rsidRPr="00EF6BD2" w:rsidRDefault="004606CD">
            <w:pPr>
              <w:pStyle w:val="TableText"/>
              <w:spacing w:line="240" w:lineRule="auto"/>
              <w:rPr>
                <w:rFonts w:cstheme="minorHAnsi"/>
              </w:rPr>
            </w:pPr>
            <w:r w:rsidRPr="00EF6BD2">
              <w:rPr>
                <w:rFonts w:cstheme="minorHAnsi"/>
              </w:rPr>
              <w:t>Craig Wilkins</w:t>
            </w:r>
          </w:p>
        </w:tc>
        <w:tc>
          <w:tcPr>
            <w:tcW w:w="4821" w:type="dxa"/>
            <w:hideMark/>
          </w:tcPr>
          <w:p w14:paraId="7C1F3CC9" w14:textId="77777777" w:rsidR="004606CD" w:rsidRPr="00EF6BD2" w:rsidRDefault="004606CD">
            <w:pPr>
              <w:pStyle w:val="TableText"/>
              <w:spacing w:line="240" w:lineRule="auto"/>
              <w:rPr>
                <w:rFonts w:cstheme="minorHAnsi"/>
              </w:rPr>
            </w:pPr>
            <w:r w:rsidRPr="00EF6BD2">
              <w:rPr>
                <w:rFonts w:cstheme="minorHAnsi"/>
              </w:rPr>
              <w:t xml:space="preserve"> Consumer Representative</w:t>
            </w:r>
          </w:p>
        </w:tc>
        <w:tc>
          <w:tcPr>
            <w:tcW w:w="2126" w:type="dxa"/>
          </w:tcPr>
          <w:p w14:paraId="556BDE7C" w14:textId="77777777" w:rsidR="004606CD" w:rsidRPr="00EF6BD2" w:rsidRDefault="004606CD">
            <w:pPr>
              <w:pStyle w:val="TableText"/>
              <w:spacing w:line="240" w:lineRule="auto"/>
              <w:rPr>
                <w:rFonts w:cstheme="minorHAnsi"/>
              </w:rPr>
            </w:pPr>
            <w:r w:rsidRPr="00EF6BD2">
              <w:rPr>
                <w:rFonts w:cstheme="minorHAnsi"/>
              </w:rPr>
              <w:t>Attended</w:t>
            </w:r>
          </w:p>
        </w:tc>
      </w:tr>
      <w:tr w:rsidR="004606CD" w:rsidRPr="00EF6BD2" w14:paraId="7F7BDDEA" w14:textId="77777777">
        <w:trPr>
          <w:cnfStyle w:val="000000010000" w:firstRow="0" w:lastRow="0" w:firstColumn="0" w:lastColumn="0" w:oddVBand="0" w:evenVBand="0" w:oddHBand="0" w:evenHBand="1" w:firstRowFirstColumn="0" w:firstRowLastColumn="0" w:lastRowFirstColumn="0" w:lastRowLastColumn="0"/>
          <w:trHeight w:val="13"/>
        </w:trPr>
        <w:tc>
          <w:tcPr>
            <w:tcW w:w="2267" w:type="dxa"/>
            <w:hideMark/>
          </w:tcPr>
          <w:p w14:paraId="7600E015" w14:textId="77777777" w:rsidR="004606CD" w:rsidRPr="00EF6BD2" w:rsidRDefault="004606CD">
            <w:pPr>
              <w:pStyle w:val="TableText"/>
              <w:spacing w:line="240" w:lineRule="auto"/>
              <w:rPr>
                <w:rFonts w:cstheme="minorHAnsi"/>
              </w:rPr>
            </w:pPr>
            <w:r w:rsidRPr="00EF6BD2">
              <w:rPr>
                <w:rFonts w:cstheme="minorHAnsi"/>
              </w:rPr>
              <w:t>Georgina Morris</w:t>
            </w:r>
          </w:p>
        </w:tc>
        <w:tc>
          <w:tcPr>
            <w:tcW w:w="4821" w:type="dxa"/>
            <w:hideMark/>
          </w:tcPr>
          <w:p w14:paraId="1AA18323" w14:textId="77777777" w:rsidR="004606CD" w:rsidRPr="00EF6BD2" w:rsidRDefault="004606CD">
            <w:pPr>
              <w:pStyle w:val="TableText"/>
              <w:spacing w:line="240" w:lineRule="auto"/>
              <w:rPr>
                <w:rFonts w:cstheme="minorHAnsi"/>
              </w:rPr>
            </w:pPr>
            <w:r w:rsidRPr="00EF6BD2">
              <w:rPr>
                <w:rFonts w:cstheme="minorHAnsi"/>
              </w:rPr>
              <w:t xml:space="preserve"> SACOSS</w:t>
            </w:r>
          </w:p>
        </w:tc>
        <w:tc>
          <w:tcPr>
            <w:tcW w:w="2126" w:type="dxa"/>
          </w:tcPr>
          <w:p w14:paraId="413092C8" w14:textId="4F546625" w:rsidR="004606CD" w:rsidRPr="00EF6BD2" w:rsidRDefault="004606CD">
            <w:pPr>
              <w:pStyle w:val="TableText"/>
              <w:spacing w:line="240" w:lineRule="auto"/>
              <w:rPr>
                <w:rFonts w:cstheme="minorHAnsi"/>
              </w:rPr>
            </w:pPr>
            <w:r w:rsidRPr="00EF6BD2">
              <w:rPr>
                <w:rFonts w:cstheme="minorHAnsi"/>
              </w:rPr>
              <w:t>Attended</w:t>
            </w:r>
          </w:p>
        </w:tc>
      </w:tr>
      <w:tr w:rsidR="004606CD" w:rsidRPr="00EF6BD2" w14:paraId="2DC0D149" w14:textId="77777777">
        <w:trPr>
          <w:cnfStyle w:val="000000100000" w:firstRow="0" w:lastRow="0" w:firstColumn="0" w:lastColumn="0" w:oddVBand="0" w:evenVBand="0" w:oddHBand="1" w:evenHBand="0" w:firstRowFirstColumn="0" w:firstRowLastColumn="0" w:lastRowFirstColumn="0" w:lastRowLastColumn="0"/>
          <w:trHeight w:val="124"/>
        </w:trPr>
        <w:tc>
          <w:tcPr>
            <w:tcW w:w="2267" w:type="dxa"/>
            <w:hideMark/>
          </w:tcPr>
          <w:p w14:paraId="4DFD635A" w14:textId="77777777" w:rsidR="004606CD" w:rsidRPr="00EF6BD2" w:rsidRDefault="004606CD">
            <w:pPr>
              <w:pStyle w:val="TableText"/>
              <w:spacing w:line="240" w:lineRule="auto"/>
              <w:rPr>
                <w:rFonts w:cstheme="minorHAnsi"/>
              </w:rPr>
            </w:pPr>
            <w:r w:rsidRPr="00EF6BD2">
              <w:rPr>
                <w:rFonts w:cstheme="minorHAnsi"/>
              </w:rPr>
              <w:t>Greg McCarron</w:t>
            </w:r>
          </w:p>
        </w:tc>
        <w:tc>
          <w:tcPr>
            <w:tcW w:w="4821" w:type="dxa"/>
            <w:hideMark/>
          </w:tcPr>
          <w:p w14:paraId="0CD94B97" w14:textId="77777777" w:rsidR="004606CD" w:rsidRPr="00EF6BD2" w:rsidRDefault="004606CD">
            <w:pPr>
              <w:pStyle w:val="TableText"/>
              <w:spacing w:line="240" w:lineRule="auto"/>
              <w:rPr>
                <w:rFonts w:cstheme="minorHAnsi"/>
              </w:rPr>
            </w:pPr>
            <w:r w:rsidRPr="00EF6BD2">
              <w:rPr>
                <w:rFonts w:cstheme="minorHAnsi"/>
              </w:rPr>
              <w:t xml:space="preserve"> Central Irrigation Trust</w:t>
            </w:r>
          </w:p>
        </w:tc>
        <w:tc>
          <w:tcPr>
            <w:tcW w:w="2126" w:type="dxa"/>
          </w:tcPr>
          <w:p w14:paraId="073595CF" w14:textId="77777777" w:rsidR="004606CD" w:rsidRPr="00EF6BD2" w:rsidRDefault="004606CD">
            <w:pPr>
              <w:pStyle w:val="TableText"/>
              <w:spacing w:line="240" w:lineRule="auto"/>
              <w:rPr>
                <w:rFonts w:cstheme="minorHAnsi"/>
              </w:rPr>
            </w:pPr>
            <w:r w:rsidRPr="00EF6BD2">
              <w:rPr>
                <w:rFonts w:cstheme="minorHAnsi"/>
              </w:rPr>
              <w:t>Attended</w:t>
            </w:r>
          </w:p>
        </w:tc>
      </w:tr>
      <w:tr w:rsidR="004606CD" w:rsidRPr="00EF6BD2" w14:paraId="701C669B" w14:textId="77777777">
        <w:trPr>
          <w:cnfStyle w:val="000000010000" w:firstRow="0" w:lastRow="0" w:firstColumn="0" w:lastColumn="0" w:oddVBand="0" w:evenVBand="0" w:oddHBand="0" w:evenHBand="1" w:firstRowFirstColumn="0" w:firstRowLastColumn="0" w:lastRowFirstColumn="0" w:lastRowLastColumn="0"/>
          <w:trHeight w:val="13"/>
        </w:trPr>
        <w:tc>
          <w:tcPr>
            <w:tcW w:w="2267" w:type="dxa"/>
            <w:hideMark/>
          </w:tcPr>
          <w:p w14:paraId="5929A201" w14:textId="77777777" w:rsidR="004606CD" w:rsidRPr="00EF6BD2" w:rsidRDefault="004606CD">
            <w:pPr>
              <w:pStyle w:val="TableText"/>
              <w:spacing w:line="240" w:lineRule="auto"/>
              <w:rPr>
                <w:rFonts w:cstheme="minorHAnsi"/>
              </w:rPr>
            </w:pPr>
            <w:r w:rsidRPr="00EF6BD2">
              <w:rPr>
                <w:rFonts w:cstheme="minorHAnsi"/>
              </w:rPr>
              <w:t xml:space="preserve">Cathi Buttfield </w:t>
            </w:r>
          </w:p>
        </w:tc>
        <w:tc>
          <w:tcPr>
            <w:tcW w:w="4821" w:type="dxa"/>
            <w:hideMark/>
          </w:tcPr>
          <w:p w14:paraId="2D38DAF4" w14:textId="77777777" w:rsidR="004606CD" w:rsidRPr="00EF6BD2" w:rsidRDefault="004606CD">
            <w:pPr>
              <w:pStyle w:val="TableText"/>
              <w:spacing w:line="240" w:lineRule="auto"/>
              <w:rPr>
                <w:rFonts w:cstheme="minorHAnsi"/>
              </w:rPr>
            </w:pPr>
            <w:r w:rsidRPr="00EF6BD2">
              <w:rPr>
                <w:rFonts w:cstheme="minorHAnsi"/>
              </w:rPr>
              <w:t xml:space="preserve"> SA Business Chamber</w:t>
            </w:r>
          </w:p>
        </w:tc>
        <w:tc>
          <w:tcPr>
            <w:tcW w:w="2126" w:type="dxa"/>
          </w:tcPr>
          <w:p w14:paraId="79348D44" w14:textId="77ABD1AA" w:rsidR="004606CD" w:rsidRPr="00EF6BD2" w:rsidRDefault="004606CD">
            <w:pPr>
              <w:pStyle w:val="TableText"/>
              <w:spacing w:line="240" w:lineRule="auto"/>
              <w:rPr>
                <w:rFonts w:cstheme="minorHAnsi"/>
              </w:rPr>
            </w:pPr>
            <w:r w:rsidRPr="00EF6BD2">
              <w:rPr>
                <w:rFonts w:cstheme="minorHAnsi"/>
              </w:rPr>
              <w:t>Attended</w:t>
            </w:r>
          </w:p>
        </w:tc>
      </w:tr>
      <w:tr w:rsidR="00266012" w:rsidRPr="00EF6BD2" w14:paraId="406B8D40" w14:textId="77777777">
        <w:trPr>
          <w:cnfStyle w:val="000000100000" w:firstRow="0" w:lastRow="0" w:firstColumn="0" w:lastColumn="0" w:oddVBand="0" w:evenVBand="0" w:oddHBand="1" w:evenHBand="0" w:firstRowFirstColumn="0" w:firstRowLastColumn="0" w:lastRowFirstColumn="0" w:lastRowLastColumn="0"/>
          <w:trHeight w:val="36"/>
        </w:trPr>
        <w:tc>
          <w:tcPr>
            <w:tcW w:w="2267" w:type="dxa"/>
          </w:tcPr>
          <w:p w14:paraId="0C9940B9" w14:textId="77777777" w:rsidR="004606CD" w:rsidRPr="00EF6BD2" w:rsidRDefault="004606CD">
            <w:pPr>
              <w:pStyle w:val="TableText"/>
              <w:spacing w:line="240" w:lineRule="auto"/>
              <w:rPr>
                <w:rFonts w:cstheme="minorHAnsi"/>
              </w:rPr>
            </w:pPr>
            <w:r w:rsidRPr="00EF6BD2">
              <w:rPr>
                <w:rFonts w:cstheme="minorHAnsi"/>
              </w:rPr>
              <w:t>Kelly-Anne Saffin</w:t>
            </w:r>
          </w:p>
        </w:tc>
        <w:tc>
          <w:tcPr>
            <w:tcW w:w="4821" w:type="dxa"/>
          </w:tcPr>
          <w:p w14:paraId="6E54A8C9" w14:textId="36528975" w:rsidR="004606CD" w:rsidRPr="00EF6BD2" w:rsidRDefault="004606CD">
            <w:pPr>
              <w:pStyle w:val="TableText"/>
              <w:spacing w:line="240" w:lineRule="auto"/>
              <w:rPr>
                <w:rFonts w:cstheme="minorHAnsi"/>
              </w:rPr>
            </w:pPr>
            <w:r w:rsidRPr="00EF6BD2">
              <w:rPr>
                <w:rFonts w:cstheme="minorHAnsi"/>
              </w:rPr>
              <w:t>Cross Border Commissioner</w:t>
            </w:r>
          </w:p>
        </w:tc>
        <w:tc>
          <w:tcPr>
            <w:tcW w:w="2126" w:type="dxa"/>
          </w:tcPr>
          <w:p w14:paraId="40DC0DF9" w14:textId="74118DCA" w:rsidR="004606CD" w:rsidRPr="00EF6BD2" w:rsidRDefault="004606CD">
            <w:pPr>
              <w:pStyle w:val="TableText"/>
              <w:spacing w:line="240" w:lineRule="auto"/>
              <w:rPr>
                <w:rFonts w:cstheme="minorHAnsi"/>
              </w:rPr>
            </w:pPr>
            <w:r w:rsidRPr="00EF6BD2">
              <w:rPr>
                <w:rFonts w:cstheme="minorHAnsi"/>
              </w:rPr>
              <w:t xml:space="preserve">Attended </w:t>
            </w:r>
          </w:p>
        </w:tc>
      </w:tr>
      <w:tr w:rsidR="004606CD" w:rsidRPr="00EF6BD2" w14:paraId="765BC78A" w14:textId="77777777">
        <w:trPr>
          <w:cnfStyle w:val="000000010000" w:firstRow="0" w:lastRow="0" w:firstColumn="0" w:lastColumn="0" w:oddVBand="0" w:evenVBand="0" w:oddHBand="0" w:evenHBand="1" w:firstRowFirstColumn="0" w:firstRowLastColumn="0" w:lastRowFirstColumn="0" w:lastRowLastColumn="0"/>
          <w:trHeight w:val="13"/>
        </w:trPr>
        <w:tc>
          <w:tcPr>
            <w:tcW w:w="2267" w:type="dxa"/>
            <w:hideMark/>
          </w:tcPr>
          <w:p w14:paraId="017FC838" w14:textId="77777777" w:rsidR="004606CD" w:rsidRPr="00EF6BD2" w:rsidRDefault="004606CD">
            <w:pPr>
              <w:pStyle w:val="TableText"/>
              <w:spacing w:line="240" w:lineRule="auto"/>
              <w:rPr>
                <w:rFonts w:cstheme="minorHAnsi"/>
              </w:rPr>
            </w:pPr>
            <w:r w:rsidRPr="00EF6BD2">
              <w:rPr>
                <w:rFonts w:cstheme="minorHAnsi"/>
              </w:rPr>
              <w:t>Mark Henley</w:t>
            </w:r>
          </w:p>
        </w:tc>
        <w:tc>
          <w:tcPr>
            <w:tcW w:w="4821" w:type="dxa"/>
            <w:hideMark/>
          </w:tcPr>
          <w:p w14:paraId="1E30C72A" w14:textId="77777777" w:rsidR="004606CD" w:rsidRPr="00EF6BD2" w:rsidRDefault="004606CD">
            <w:pPr>
              <w:pStyle w:val="TableText"/>
              <w:spacing w:line="240" w:lineRule="auto"/>
              <w:rPr>
                <w:rFonts w:cstheme="minorHAnsi"/>
              </w:rPr>
            </w:pPr>
            <w:r w:rsidRPr="00EF6BD2">
              <w:rPr>
                <w:rFonts w:cstheme="minorHAnsi"/>
              </w:rPr>
              <w:t xml:space="preserve"> Consumer Representative</w:t>
            </w:r>
          </w:p>
        </w:tc>
        <w:tc>
          <w:tcPr>
            <w:tcW w:w="2126" w:type="dxa"/>
            <w:hideMark/>
          </w:tcPr>
          <w:p w14:paraId="5055604A" w14:textId="7086DC56" w:rsidR="004606CD" w:rsidRPr="00EF6BD2" w:rsidRDefault="00C83D31">
            <w:pPr>
              <w:pStyle w:val="TableText"/>
              <w:spacing w:line="240" w:lineRule="auto"/>
              <w:rPr>
                <w:rFonts w:cstheme="minorHAnsi"/>
              </w:rPr>
            </w:pPr>
            <w:r w:rsidRPr="00EF6BD2">
              <w:rPr>
                <w:rFonts w:cstheme="minorHAnsi"/>
              </w:rPr>
              <w:t xml:space="preserve">Apology </w:t>
            </w:r>
          </w:p>
        </w:tc>
      </w:tr>
      <w:tr w:rsidR="004606CD" w:rsidRPr="00EF6BD2" w14:paraId="72063B66" w14:textId="77777777">
        <w:trPr>
          <w:cnfStyle w:val="000000100000" w:firstRow="0" w:lastRow="0" w:firstColumn="0" w:lastColumn="0" w:oddVBand="0" w:evenVBand="0" w:oddHBand="1" w:evenHBand="0" w:firstRowFirstColumn="0" w:firstRowLastColumn="0" w:lastRowFirstColumn="0" w:lastRowLastColumn="0"/>
          <w:trHeight w:val="13"/>
        </w:trPr>
        <w:tc>
          <w:tcPr>
            <w:tcW w:w="2267" w:type="dxa"/>
            <w:hideMark/>
          </w:tcPr>
          <w:p w14:paraId="195C1467" w14:textId="77777777" w:rsidR="004606CD" w:rsidRPr="00EF6BD2" w:rsidRDefault="004606CD">
            <w:pPr>
              <w:pStyle w:val="TableText"/>
              <w:spacing w:line="240" w:lineRule="auto"/>
              <w:rPr>
                <w:rFonts w:cstheme="minorHAnsi"/>
              </w:rPr>
            </w:pPr>
            <w:r w:rsidRPr="00EF6BD2">
              <w:rPr>
                <w:rFonts w:cstheme="minorHAnsi"/>
              </w:rPr>
              <w:t>Simon Maddocks</w:t>
            </w:r>
          </w:p>
        </w:tc>
        <w:tc>
          <w:tcPr>
            <w:tcW w:w="4821" w:type="dxa"/>
            <w:hideMark/>
          </w:tcPr>
          <w:p w14:paraId="7C877786" w14:textId="77777777" w:rsidR="004606CD" w:rsidRPr="00EF6BD2" w:rsidRDefault="004606CD">
            <w:pPr>
              <w:pStyle w:val="TableText"/>
              <w:spacing w:line="240" w:lineRule="auto"/>
              <w:rPr>
                <w:rFonts w:cstheme="minorHAnsi"/>
              </w:rPr>
            </w:pPr>
            <w:r w:rsidRPr="00EF6BD2">
              <w:rPr>
                <w:rFonts w:cstheme="minorHAnsi"/>
              </w:rPr>
              <w:t xml:space="preserve"> Primary Producers SA</w:t>
            </w:r>
          </w:p>
        </w:tc>
        <w:tc>
          <w:tcPr>
            <w:tcW w:w="2126" w:type="dxa"/>
          </w:tcPr>
          <w:p w14:paraId="74015426" w14:textId="5F8CBCDB" w:rsidR="004606CD" w:rsidRPr="00EF6BD2" w:rsidRDefault="004606CD">
            <w:pPr>
              <w:pStyle w:val="TableText"/>
              <w:spacing w:line="240" w:lineRule="auto"/>
              <w:rPr>
                <w:rFonts w:cstheme="minorHAnsi"/>
              </w:rPr>
            </w:pPr>
            <w:r w:rsidRPr="00EF6BD2">
              <w:rPr>
                <w:rFonts w:cstheme="minorHAnsi"/>
              </w:rPr>
              <w:t>Attended</w:t>
            </w:r>
            <w:r w:rsidR="006B223A" w:rsidRPr="00EF6BD2">
              <w:rPr>
                <w:rFonts w:cstheme="minorHAnsi"/>
              </w:rPr>
              <w:t xml:space="preserve"> (remote)</w:t>
            </w:r>
          </w:p>
        </w:tc>
      </w:tr>
      <w:tr w:rsidR="004606CD" w:rsidRPr="00EF6BD2" w14:paraId="773360DC" w14:textId="77777777">
        <w:trPr>
          <w:cnfStyle w:val="000000010000" w:firstRow="0" w:lastRow="0" w:firstColumn="0" w:lastColumn="0" w:oddVBand="0" w:evenVBand="0" w:oddHBand="0" w:evenHBand="1" w:firstRowFirstColumn="0" w:firstRowLastColumn="0" w:lastRowFirstColumn="0" w:lastRowLastColumn="0"/>
          <w:trHeight w:val="17"/>
        </w:trPr>
        <w:tc>
          <w:tcPr>
            <w:tcW w:w="2267" w:type="dxa"/>
            <w:hideMark/>
          </w:tcPr>
          <w:p w14:paraId="7421B329" w14:textId="77777777" w:rsidR="004606CD" w:rsidRPr="00EF6BD2" w:rsidRDefault="004606CD">
            <w:pPr>
              <w:pStyle w:val="TableText"/>
              <w:spacing w:line="240" w:lineRule="auto"/>
              <w:rPr>
                <w:rFonts w:cstheme="minorHAnsi"/>
              </w:rPr>
            </w:pPr>
            <w:r w:rsidRPr="00EF6BD2">
              <w:rPr>
                <w:rFonts w:cstheme="minorHAnsi"/>
              </w:rPr>
              <w:t>Vikram Kenjle</w:t>
            </w:r>
          </w:p>
        </w:tc>
        <w:tc>
          <w:tcPr>
            <w:tcW w:w="4821" w:type="dxa"/>
            <w:hideMark/>
          </w:tcPr>
          <w:p w14:paraId="4BE31684" w14:textId="77777777" w:rsidR="004606CD" w:rsidRPr="00EF6BD2" w:rsidRDefault="004606CD">
            <w:pPr>
              <w:pStyle w:val="TableText"/>
              <w:spacing w:line="240" w:lineRule="auto"/>
              <w:rPr>
                <w:rFonts w:cstheme="minorHAnsi"/>
              </w:rPr>
            </w:pPr>
            <w:r w:rsidRPr="00EF6BD2">
              <w:rPr>
                <w:rFonts w:cstheme="minorHAnsi"/>
              </w:rPr>
              <w:t xml:space="preserve"> University of Adelaide</w:t>
            </w:r>
          </w:p>
        </w:tc>
        <w:tc>
          <w:tcPr>
            <w:tcW w:w="2126" w:type="dxa"/>
            <w:hideMark/>
          </w:tcPr>
          <w:p w14:paraId="61E3B213" w14:textId="4A9BC016" w:rsidR="004606CD" w:rsidRPr="00EF6BD2" w:rsidRDefault="006B223A">
            <w:pPr>
              <w:pStyle w:val="TableText"/>
              <w:spacing w:line="240" w:lineRule="auto"/>
              <w:rPr>
                <w:rFonts w:cstheme="minorHAnsi"/>
              </w:rPr>
            </w:pPr>
            <w:r w:rsidRPr="00EF6BD2">
              <w:rPr>
                <w:rFonts w:cstheme="minorHAnsi"/>
              </w:rPr>
              <w:t>Apology</w:t>
            </w:r>
          </w:p>
        </w:tc>
      </w:tr>
      <w:tr w:rsidR="004606CD" w:rsidRPr="00EF6BD2" w14:paraId="7183641D" w14:textId="77777777">
        <w:trPr>
          <w:cnfStyle w:val="000000100000" w:firstRow="0" w:lastRow="0" w:firstColumn="0" w:lastColumn="0" w:oddVBand="0" w:evenVBand="0" w:oddHBand="1" w:evenHBand="0" w:firstRowFirstColumn="0" w:firstRowLastColumn="0" w:lastRowFirstColumn="0" w:lastRowLastColumn="0"/>
          <w:trHeight w:val="315"/>
        </w:trPr>
        <w:tc>
          <w:tcPr>
            <w:tcW w:w="9214" w:type="dxa"/>
            <w:gridSpan w:val="3"/>
            <w:shd w:val="clear" w:color="auto" w:fill="F8FEE2" w:themeFill="accent2" w:themeFillTint="33"/>
            <w:hideMark/>
          </w:tcPr>
          <w:p w14:paraId="0917CF96" w14:textId="77777777" w:rsidR="004606CD" w:rsidRPr="00EF6BD2" w:rsidRDefault="004606CD">
            <w:pPr>
              <w:spacing w:before="0" w:after="0" w:line="240" w:lineRule="auto"/>
              <w:jc w:val="center"/>
              <w:rPr>
                <w:rFonts w:cstheme="minorHAnsi"/>
                <w:b/>
              </w:rPr>
            </w:pPr>
            <w:r w:rsidRPr="00EF6BD2">
              <w:rPr>
                <w:rFonts w:cstheme="minorHAnsi"/>
                <w:b/>
              </w:rPr>
              <w:t>ElectraNet Representatives</w:t>
            </w:r>
          </w:p>
        </w:tc>
      </w:tr>
      <w:tr w:rsidR="004606CD" w:rsidRPr="00EF6BD2" w14:paraId="2FEF47CE" w14:textId="77777777">
        <w:trPr>
          <w:cnfStyle w:val="000000010000" w:firstRow="0" w:lastRow="0" w:firstColumn="0" w:lastColumn="0" w:oddVBand="0" w:evenVBand="0" w:oddHBand="0" w:evenHBand="1" w:firstRowFirstColumn="0" w:firstRowLastColumn="0" w:lastRowFirstColumn="0" w:lastRowLastColumn="0"/>
          <w:trHeight w:val="13"/>
        </w:trPr>
        <w:tc>
          <w:tcPr>
            <w:tcW w:w="2267" w:type="dxa"/>
            <w:hideMark/>
          </w:tcPr>
          <w:p w14:paraId="1B8F79BD" w14:textId="77777777" w:rsidR="004606CD" w:rsidRPr="00EF6BD2" w:rsidRDefault="004606CD">
            <w:pPr>
              <w:pStyle w:val="TableText"/>
              <w:spacing w:line="240" w:lineRule="auto"/>
              <w:rPr>
                <w:rFonts w:cstheme="minorHAnsi"/>
                <w:lang w:val="en-US"/>
              </w:rPr>
            </w:pPr>
            <w:r w:rsidRPr="00EF6BD2">
              <w:rPr>
                <w:rFonts w:cstheme="minorHAnsi"/>
                <w:lang w:val="en-US"/>
              </w:rPr>
              <w:t>Jeremy Tustin</w:t>
            </w:r>
          </w:p>
        </w:tc>
        <w:tc>
          <w:tcPr>
            <w:tcW w:w="4821" w:type="dxa"/>
            <w:hideMark/>
          </w:tcPr>
          <w:p w14:paraId="6A3E12D0" w14:textId="6B28B3F0" w:rsidR="004606CD" w:rsidRPr="00EF6BD2" w:rsidRDefault="004606CD">
            <w:pPr>
              <w:pStyle w:val="TableText"/>
              <w:spacing w:line="240" w:lineRule="auto"/>
              <w:rPr>
                <w:rFonts w:cstheme="minorHAnsi"/>
                <w:lang w:val="en-US"/>
              </w:rPr>
            </w:pPr>
            <w:r w:rsidRPr="00EF6BD2">
              <w:rPr>
                <w:rFonts w:cstheme="minorHAnsi"/>
                <w:lang w:val="en-US"/>
              </w:rPr>
              <w:t>Head of Regulation</w:t>
            </w:r>
          </w:p>
        </w:tc>
        <w:tc>
          <w:tcPr>
            <w:tcW w:w="2126" w:type="dxa"/>
          </w:tcPr>
          <w:p w14:paraId="6A649684" w14:textId="65B4168D" w:rsidR="004606CD" w:rsidRPr="00EF6BD2" w:rsidRDefault="004606CD">
            <w:pPr>
              <w:pStyle w:val="TableText"/>
              <w:spacing w:line="240" w:lineRule="auto"/>
              <w:rPr>
                <w:rFonts w:cstheme="minorHAnsi"/>
                <w:lang w:val="en-US"/>
              </w:rPr>
            </w:pPr>
            <w:r w:rsidRPr="00EF6BD2">
              <w:rPr>
                <w:rFonts w:cstheme="minorHAnsi"/>
                <w:lang w:val="en-US"/>
              </w:rPr>
              <w:t>Attended</w:t>
            </w:r>
          </w:p>
        </w:tc>
      </w:tr>
      <w:tr w:rsidR="004606CD" w:rsidRPr="00EF6BD2" w14:paraId="4A9B6322" w14:textId="77777777">
        <w:trPr>
          <w:cnfStyle w:val="000000100000" w:firstRow="0" w:lastRow="0" w:firstColumn="0" w:lastColumn="0" w:oddVBand="0" w:evenVBand="0" w:oddHBand="1" w:evenHBand="0" w:firstRowFirstColumn="0" w:firstRowLastColumn="0" w:lastRowFirstColumn="0" w:lastRowLastColumn="0"/>
          <w:trHeight w:val="13"/>
        </w:trPr>
        <w:tc>
          <w:tcPr>
            <w:tcW w:w="2267" w:type="dxa"/>
            <w:hideMark/>
          </w:tcPr>
          <w:p w14:paraId="055F07FB" w14:textId="77777777" w:rsidR="004606CD" w:rsidRPr="00EF6BD2" w:rsidRDefault="004606CD">
            <w:pPr>
              <w:pStyle w:val="TableText"/>
              <w:spacing w:line="240" w:lineRule="auto"/>
              <w:rPr>
                <w:rFonts w:cstheme="minorHAnsi"/>
                <w:lang w:val="en-US"/>
              </w:rPr>
            </w:pPr>
            <w:r w:rsidRPr="00EF6BD2">
              <w:rPr>
                <w:rFonts w:cstheme="minorHAnsi"/>
                <w:lang w:val="en-US"/>
              </w:rPr>
              <w:t>Simon Appleby</w:t>
            </w:r>
          </w:p>
        </w:tc>
        <w:tc>
          <w:tcPr>
            <w:tcW w:w="4821" w:type="dxa"/>
            <w:hideMark/>
          </w:tcPr>
          <w:p w14:paraId="29C1E58D" w14:textId="77777777" w:rsidR="004606CD" w:rsidRPr="00EF6BD2" w:rsidRDefault="004606CD">
            <w:pPr>
              <w:pStyle w:val="TableText"/>
              <w:spacing w:line="240" w:lineRule="auto"/>
              <w:rPr>
                <w:rFonts w:cstheme="minorHAnsi"/>
                <w:lang w:val="en-US"/>
              </w:rPr>
            </w:pPr>
            <w:r w:rsidRPr="00EF6BD2">
              <w:rPr>
                <w:rFonts w:cstheme="minorHAnsi"/>
                <w:lang w:val="en-US"/>
              </w:rPr>
              <w:t xml:space="preserve">Director Energy Policy &amp; Strategy </w:t>
            </w:r>
          </w:p>
        </w:tc>
        <w:tc>
          <w:tcPr>
            <w:tcW w:w="2126" w:type="dxa"/>
          </w:tcPr>
          <w:p w14:paraId="0E902300" w14:textId="77777777" w:rsidR="004606CD" w:rsidRPr="00EF6BD2" w:rsidRDefault="004606CD">
            <w:pPr>
              <w:pStyle w:val="TableText"/>
              <w:spacing w:line="240" w:lineRule="auto"/>
              <w:rPr>
                <w:rFonts w:cstheme="minorHAnsi"/>
                <w:lang w:val="en-US"/>
              </w:rPr>
            </w:pPr>
            <w:r w:rsidRPr="00EF6BD2">
              <w:rPr>
                <w:rFonts w:cstheme="minorHAnsi"/>
                <w:lang w:val="en-US"/>
              </w:rPr>
              <w:t>Attended</w:t>
            </w:r>
          </w:p>
        </w:tc>
      </w:tr>
      <w:tr w:rsidR="004606CD" w:rsidRPr="00EF6BD2" w14:paraId="03BAE024" w14:textId="77777777">
        <w:trPr>
          <w:cnfStyle w:val="000000010000" w:firstRow="0" w:lastRow="0" w:firstColumn="0" w:lastColumn="0" w:oddVBand="0" w:evenVBand="0" w:oddHBand="0" w:evenHBand="1" w:firstRowFirstColumn="0" w:firstRowLastColumn="0" w:lastRowFirstColumn="0" w:lastRowLastColumn="0"/>
          <w:trHeight w:val="13"/>
        </w:trPr>
        <w:tc>
          <w:tcPr>
            <w:tcW w:w="2267" w:type="dxa"/>
            <w:hideMark/>
          </w:tcPr>
          <w:p w14:paraId="4636E8AB" w14:textId="77777777" w:rsidR="004606CD" w:rsidRPr="00EF6BD2" w:rsidRDefault="004606CD">
            <w:pPr>
              <w:pStyle w:val="TableText"/>
              <w:spacing w:line="240" w:lineRule="auto"/>
              <w:rPr>
                <w:rFonts w:cstheme="minorHAnsi"/>
                <w:lang w:val="en-US"/>
              </w:rPr>
            </w:pPr>
            <w:r w:rsidRPr="00EF6BD2">
              <w:rPr>
                <w:rFonts w:cstheme="minorHAnsi"/>
                <w:lang w:val="en-US"/>
              </w:rPr>
              <w:t>Alycia Martin</w:t>
            </w:r>
          </w:p>
        </w:tc>
        <w:tc>
          <w:tcPr>
            <w:tcW w:w="4821" w:type="dxa"/>
            <w:hideMark/>
          </w:tcPr>
          <w:p w14:paraId="4388AF61" w14:textId="77777777" w:rsidR="004606CD" w:rsidRPr="00EF6BD2" w:rsidRDefault="004606CD">
            <w:pPr>
              <w:pStyle w:val="TableText"/>
              <w:spacing w:line="240" w:lineRule="auto"/>
              <w:rPr>
                <w:rFonts w:cstheme="minorHAnsi"/>
                <w:lang w:val="en-US"/>
              </w:rPr>
            </w:pPr>
            <w:r w:rsidRPr="00EF6BD2">
              <w:rPr>
                <w:rFonts w:cstheme="minorHAnsi"/>
                <w:lang w:val="en-US"/>
              </w:rPr>
              <w:t>Stakeholder Coordinator</w:t>
            </w:r>
          </w:p>
        </w:tc>
        <w:tc>
          <w:tcPr>
            <w:tcW w:w="2126" w:type="dxa"/>
          </w:tcPr>
          <w:p w14:paraId="6DBCEC1C" w14:textId="77777777" w:rsidR="004606CD" w:rsidRPr="00EF6BD2" w:rsidRDefault="004606CD">
            <w:pPr>
              <w:pStyle w:val="TableText"/>
              <w:spacing w:line="240" w:lineRule="auto"/>
              <w:rPr>
                <w:rFonts w:cstheme="minorHAnsi"/>
                <w:lang w:val="en-US"/>
              </w:rPr>
            </w:pPr>
            <w:r w:rsidRPr="00EF6BD2">
              <w:rPr>
                <w:rFonts w:cstheme="minorHAnsi"/>
                <w:lang w:val="en-US"/>
              </w:rPr>
              <w:t>Attended</w:t>
            </w:r>
          </w:p>
        </w:tc>
      </w:tr>
      <w:tr w:rsidR="004606CD" w:rsidRPr="00EF6BD2" w14:paraId="75C6032A" w14:textId="77777777">
        <w:trPr>
          <w:cnfStyle w:val="000000100000" w:firstRow="0" w:lastRow="0" w:firstColumn="0" w:lastColumn="0" w:oddVBand="0" w:evenVBand="0" w:oddHBand="1" w:evenHBand="0" w:firstRowFirstColumn="0" w:firstRowLastColumn="0" w:lastRowFirstColumn="0" w:lastRowLastColumn="0"/>
          <w:trHeight w:val="13"/>
        </w:trPr>
        <w:tc>
          <w:tcPr>
            <w:tcW w:w="2267" w:type="dxa"/>
          </w:tcPr>
          <w:p w14:paraId="33358332" w14:textId="77777777" w:rsidR="004606CD" w:rsidRPr="00EF6BD2" w:rsidRDefault="004606CD">
            <w:pPr>
              <w:pStyle w:val="TableText"/>
              <w:spacing w:line="240" w:lineRule="auto"/>
              <w:rPr>
                <w:rFonts w:cstheme="minorHAnsi"/>
                <w:lang w:val="en-US"/>
              </w:rPr>
            </w:pPr>
            <w:r w:rsidRPr="00EF6BD2">
              <w:rPr>
                <w:rFonts w:cstheme="minorHAnsi"/>
                <w:color w:val="000000" w:themeColor="text2"/>
                <w:lang w:val="en-US"/>
              </w:rPr>
              <w:t>Bec Malhotra</w:t>
            </w:r>
          </w:p>
        </w:tc>
        <w:tc>
          <w:tcPr>
            <w:tcW w:w="4821" w:type="dxa"/>
          </w:tcPr>
          <w:p w14:paraId="26F6DEE5" w14:textId="77777777" w:rsidR="004606CD" w:rsidRPr="00EF6BD2" w:rsidRDefault="004606CD">
            <w:pPr>
              <w:pStyle w:val="TableText"/>
              <w:spacing w:line="240" w:lineRule="auto"/>
              <w:rPr>
                <w:rFonts w:cstheme="minorHAnsi"/>
                <w:lang w:val="en-US"/>
              </w:rPr>
            </w:pPr>
            <w:r w:rsidRPr="00EF6BD2">
              <w:rPr>
                <w:rFonts w:cstheme="minorHAnsi"/>
                <w:color w:val="000000" w:themeColor="text2"/>
              </w:rPr>
              <w:t xml:space="preserve">Manager Regulation </w:t>
            </w:r>
          </w:p>
        </w:tc>
        <w:tc>
          <w:tcPr>
            <w:tcW w:w="2126" w:type="dxa"/>
          </w:tcPr>
          <w:p w14:paraId="67D1C6D7" w14:textId="460D4579" w:rsidR="004606CD" w:rsidRPr="00EF6BD2" w:rsidRDefault="004606CD">
            <w:pPr>
              <w:pStyle w:val="TableText"/>
              <w:spacing w:line="240" w:lineRule="auto"/>
              <w:rPr>
                <w:rFonts w:cstheme="minorHAnsi"/>
                <w:lang w:val="en-US"/>
              </w:rPr>
            </w:pPr>
            <w:r w:rsidRPr="00EF6BD2">
              <w:rPr>
                <w:rFonts w:cstheme="minorHAnsi"/>
                <w:lang w:val="en-US"/>
              </w:rPr>
              <w:t xml:space="preserve">Attended </w:t>
            </w:r>
          </w:p>
        </w:tc>
      </w:tr>
      <w:tr w:rsidR="004606CD" w:rsidRPr="00EF6BD2" w14:paraId="18F5ADD7" w14:textId="77777777">
        <w:trPr>
          <w:cnfStyle w:val="000000010000" w:firstRow="0" w:lastRow="0" w:firstColumn="0" w:lastColumn="0" w:oddVBand="0" w:evenVBand="0" w:oddHBand="0" w:evenHBand="1" w:firstRowFirstColumn="0" w:firstRowLastColumn="0" w:lastRowFirstColumn="0" w:lastRowLastColumn="0"/>
          <w:trHeight w:val="13"/>
        </w:trPr>
        <w:tc>
          <w:tcPr>
            <w:tcW w:w="2267" w:type="dxa"/>
            <w:shd w:val="clear" w:color="auto" w:fill="FFFFFF" w:themeFill="background2"/>
          </w:tcPr>
          <w:p w14:paraId="67A50334" w14:textId="77777777" w:rsidR="004606CD" w:rsidRPr="00EF6BD2" w:rsidRDefault="004606CD">
            <w:pPr>
              <w:pStyle w:val="TableText"/>
              <w:spacing w:line="240" w:lineRule="auto"/>
              <w:rPr>
                <w:rFonts w:cstheme="minorHAnsi"/>
                <w:color w:val="000000" w:themeColor="text1"/>
                <w:lang w:val="en-US"/>
              </w:rPr>
            </w:pPr>
            <w:r w:rsidRPr="00EF6BD2">
              <w:rPr>
                <w:rFonts w:cstheme="minorHAnsi"/>
                <w:color w:val="000000" w:themeColor="text2"/>
                <w:lang w:val="en-US"/>
              </w:rPr>
              <w:t>Brad Harrison</w:t>
            </w:r>
          </w:p>
        </w:tc>
        <w:tc>
          <w:tcPr>
            <w:tcW w:w="4821" w:type="dxa"/>
            <w:shd w:val="clear" w:color="auto" w:fill="FFFFFF" w:themeFill="background2"/>
          </w:tcPr>
          <w:p w14:paraId="4078D44E" w14:textId="77777777" w:rsidR="004606CD" w:rsidRPr="00EF6BD2" w:rsidRDefault="004606CD">
            <w:pPr>
              <w:pStyle w:val="TableText"/>
              <w:spacing w:line="240" w:lineRule="auto"/>
              <w:rPr>
                <w:rFonts w:cstheme="minorHAnsi"/>
                <w:color w:val="000000" w:themeColor="text1"/>
              </w:rPr>
            </w:pPr>
            <w:r w:rsidRPr="00EF6BD2">
              <w:rPr>
                <w:rFonts w:cstheme="minorHAnsi"/>
                <w:color w:val="000000" w:themeColor="text2"/>
              </w:rPr>
              <w:t>Manager Network Planning</w:t>
            </w:r>
          </w:p>
        </w:tc>
        <w:tc>
          <w:tcPr>
            <w:tcW w:w="2126" w:type="dxa"/>
            <w:shd w:val="clear" w:color="auto" w:fill="FFFFFF" w:themeFill="background2"/>
          </w:tcPr>
          <w:p w14:paraId="76759C2F" w14:textId="0C3C09D0" w:rsidR="004606CD" w:rsidRPr="00EF6BD2" w:rsidRDefault="004606CD">
            <w:pPr>
              <w:pStyle w:val="TableText"/>
              <w:spacing w:line="240" w:lineRule="auto"/>
              <w:rPr>
                <w:rFonts w:cstheme="minorHAnsi"/>
                <w:color w:val="000000" w:themeColor="text1"/>
                <w:lang w:val="en-US"/>
              </w:rPr>
            </w:pPr>
            <w:r w:rsidRPr="00EF6BD2">
              <w:rPr>
                <w:rFonts w:cstheme="minorHAnsi"/>
                <w:color w:val="000000" w:themeColor="text1"/>
                <w:lang w:val="en-US"/>
              </w:rPr>
              <w:t xml:space="preserve">Attended </w:t>
            </w:r>
          </w:p>
        </w:tc>
      </w:tr>
      <w:tr w:rsidR="00465C3F" w:rsidRPr="00EF6BD2" w14:paraId="2E998342" w14:textId="77777777">
        <w:trPr>
          <w:cnfStyle w:val="000000100000" w:firstRow="0" w:lastRow="0" w:firstColumn="0" w:lastColumn="0" w:oddVBand="0" w:evenVBand="0" w:oddHBand="1" w:evenHBand="0" w:firstRowFirstColumn="0" w:firstRowLastColumn="0" w:lastRowFirstColumn="0" w:lastRowLastColumn="0"/>
          <w:trHeight w:val="13"/>
        </w:trPr>
        <w:tc>
          <w:tcPr>
            <w:tcW w:w="2267" w:type="dxa"/>
            <w:shd w:val="clear" w:color="auto" w:fill="FFFFFF" w:themeFill="background2"/>
          </w:tcPr>
          <w:p w14:paraId="79AE86C6" w14:textId="33895656" w:rsidR="00465C3F" w:rsidRPr="00EF6BD2" w:rsidRDefault="00465C3F">
            <w:pPr>
              <w:pStyle w:val="TableText"/>
              <w:spacing w:line="240" w:lineRule="auto"/>
              <w:rPr>
                <w:rFonts w:cstheme="minorHAnsi"/>
                <w:color w:val="000000" w:themeColor="text2"/>
                <w:lang w:val="en-US"/>
              </w:rPr>
            </w:pPr>
            <w:r w:rsidRPr="00EF6BD2">
              <w:rPr>
                <w:rFonts w:cstheme="minorHAnsi"/>
                <w:color w:val="000000" w:themeColor="text2"/>
                <w:lang w:val="en-US"/>
              </w:rPr>
              <w:t>David Tansell</w:t>
            </w:r>
          </w:p>
        </w:tc>
        <w:tc>
          <w:tcPr>
            <w:tcW w:w="4821" w:type="dxa"/>
            <w:shd w:val="clear" w:color="auto" w:fill="FFFFFF" w:themeFill="background2"/>
          </w:tcPr>
          <w:p w14:paraId="37756539" w14:textId="3FE6CBFE" w:rsidR="00465C3F" w:rsidRPr="00EF6BD2" w:rsidRDefault="00465C3F">
            <w:pPr>
              <w:pStyle w:val="TableText"/>
              <w:spacing w:line="240" w:lineRule="auto"/>
              <w:rPr>
                <w:rFonts w:cstheme="minorHAnsi"/>
                <w:color w:val="000000" w:themeColor="text2"/>
              </w:rPr>
            </w:pPr>
            <w:r w:rsidRPr="00EF6BD2">
              <w:rPr>
                <w:rFonts w:cstheme="minorHAnsi"/>
                <w:color w:val="000000" w:themeColor="text2"/>
              </w:rPr>
              <w:t>Project Director</w:t>
            </w:r>
          </w:p>
        </w:tc>
        <w:tc>
          <w:tcPr>
            <w:tcW w:w="2126" w:type="dxa"/>
            <w:shd w:val="clear" w:color="auto" w:fill="FFFFFF" w:themeFill="background2"/>
          </w:tcPr>
          <w:p w14:paraId="2DB908F6" w14:textId="10EF0942" w:rsidR="00465C3F" w:rsidRPr="00EF6BD2" w:rsidRDefault="00465C3F">
            <w:pPr>
              <w:pStyle w:val="TableText"/>
              <w:spacing w:line="240" w:lineRule="auto"/>
              <w:rPr>
                <w:rFonts w:cstheme="minorHAnsi"/>
                <w:color w:val="000000" w:themeColor="text1"/>
                <w:lang w:val="en-US"/>
              </w:rPr>
            </w:pPr>
            <w:r w:rsidRPr="00EF6BD2">
              <w:rPr>
                <w:rFonts w:cstheme="minorHAnsi"/>
                <w:color w:val="000000" w:themeColor="text1"/>
                <w:lang w:val="en-US"/>
              </w:rPr>
              <w:t>Attended (part)</w:t>
            </w:r>
          </w:p>
        </w:tc>
      </w:tr>
      <w:tr w:rsidR="00465C3F" w:rsidRPr="00EF6BD2" w14:paraId="0BDEA2F6" w14:textId="77777777">
        <w:trPr>
          <w:cnfStyle w:val="010000000000" w:firstRow="0" w:lastRow="1" w:firstColumn="0" w:lastColumn="0" w:oddVBand="0" w:evenVBand="0" w:oddHBand="0" w:evenHBand="0" w:firstRowFirstColumn="0" w:firstRowLastColumn="0" w:lastRowFirstColumn="0" w:lastRowLastColumn="0"/>
          <w:trHeight w:val="13"/>
        </w:trPr>
        <w:tc>
          <w:tcPr>
            <w:tcW w:w="2267" w:type="dxa"/>
            <w:shd w:val="clear" w:color="auto" w:fill="FFFFFF" w:themeFill="background2"/>
          </w:tcPr>
          <w:p w14:paraId="04955337" w14:textId="07394715" w:rsidR="00465C3F" w:rsidRPr="00EF6BD2" w:rsidRDefault="00465C3F">
            <w:pPr>
              <w:pStyle w:val="TableText"/>
              <w:spacing w:line="240" w:lineRule="auto"/>
              <w:rPr>
                <w:rFonts w:cstheme="minorHAnsi"/>
                <w:color w:val="000000" w:themeColor="text2"/>
                <w:lang w:val="en-US"/>
              </w:rPr>
            </w:pPr>
            <w:r w:rsidRPr="00EF6BD2">
              <w:rPr>
                <w:rFonts w:cstheme="minorHAnsi"/>
                <w:color w:val="000000" w:themeColor="text2"/>
                <w:lang w:val="en-US"/>
              </w:rPr>
              <w:t>Joesphine Telfer</w:t>
            </w:r>
          </w:p>
        </w:tc>
        <w:tc>
          <w:tcPr>
            <w:tcW w:w="4821" w:type="dxa"/>
            <w:shd w:val="clear" w:color="auto" w:fill="FFFFFF" w:themeFill="background2"/>
          </w:tcPr>
          <w:p w14:paraId="6FA61E86" w14:textId="72FD0ACD" w:rsidR="00465C3F" w:rsidRPr="00EF6BD2" w:rsidRDefault="00465C3F">
            <w:pPr>
              <w:pStyle w:val="TableText"/>
              <w:spacing w:line="240" w:lineRule="auto"/>
              <w:rPr>
                <w:rFonts w:cstheme="minorHAnsi"/>
                <w:color w:val="000000" w:themeColor="text2"/>
              </w:rPr>
            </w:pPr>
            <w:r w:rsidRPr="00EF6BD2">
              <w:rPr>
                <w:rFonts w:cstheme="minorHAnsi"/>
                <w:color w:val="000000" w:themeColor="text2"/>
              </w:rPr>
              <w:t>Engagement Lead</w:t>
            </w:r>
          </w:p>
        </w:tc>
        <w:tc>
          <w:tcPr>
            <w:tcW w:w="2126" w:type="dxa"/>
            <w:shd w:val="clear" w:color="auto" w:fill="FFFFFF" w:themeFill="background2"/>
          </w:tcPr>
          <w:p w14:paraId="52EDE7B3" w14:textId="667FCCE2" w:rsidR="00465C3F" w:rsidRPr="00EF6BD2" w:rsidRDefault="00465C3F">
            <w:pPr>
              <w:pStyle w:val="TableText"/>
              <w:spacing w:line="240" w:lineRule="auto"/>
              <w:rPr>
                <w:rFonts w:cstheme="minorHAnsi"/>
                <w:color w:val="000000" w:themeColor="text1"/>
                <w:lang w:val="en-US"/>
              </w:rPr>
            </w:pPr>
            <w:r w:rsidRPr="00EF6BD2">
              <w:rPr>
                <w:rFonts w:cstheme="minorHAnsi"/>
                <w:color w:val="000000" w:themeColor="text1"/>
                <w:lang w:val="en-US"/>
              </w:rPr>
              <w:t>Attended (part)</w:t>
            </w:r>
          </w:p>
        </w:tc>
      </w:tr>
    </w:tbl>
    <w:p w14:paraId="1CDF4877" w14:textId="26610939" w:rsidR="004606CD" w:rsidRPr="00EF6BD2" w:rsidRDefault="004606CD" w:rsidP="00040701">
      <w:pPr>
        <w:pStyle w:val="Heading2Numbered"/>
        <w:numPr>
          <w:ilvl w:val="0"/>
          <w:numId w:val="41"/>
        </w:numPr>
        <w:ind w:left="426"/>
        <w:rPr>
          <w:rFonts w:asciiTheme="minorHAnsi" w:hAnsiTheme="minorHAnsi" w:cstheme="minorHAnsi"/>
          <w:b/>
          <w:bCs/>
        </w:rPr>
      </w:pPr>
      <w:r w:rsidRPr="00EF6BD2">
        <w:rPr>
          <w:rFonts w:asciiTheme="minorHAnsi" w:hAnsiTheme="minorHAnsi" w:cstheme="minorHAnsi"/>
          <w:b/>
          <w:bCs/>
        </w:rPr>
        <w:t>Welcome</w:t>
      </w:r>
      <w:r w:rsidR="0016507F" w:rsidRPr="00EF6BD2">
        <w:rPr>
          <w:rFonts w:asciiTheme="minorHAnsi" w:hAnsiTheme="minorHAnsi" w:cstheme="minorHAnsi"/>
          <w:b/>
          <w:bCs/>
        </w:rPr>
        <w:t xml:space="preserve"> &amp; </w:t>
      </w:r>
      <w:r w:rsidR="00243B4E" w:rsidRPr="00EF6BD2">
        <w:rPr>
          <w:rFonts w:asciiTheme="minorHAnsi" w:hAnsiTheme="minorHAnsi" w:cstheme="minorHAnsi"/>
          <w:b/>
          <w:bCs/>
        </w:rPr>
        <w:t>Actions</w:t>
      </w:r>
    </w:p>
    <w:p w14:paraId="2271B65C" w14:textId="788D0339" w:rsidR="00C0602E" w:rsidRPr="00EF6BD2" w:rsidRDefault="004606CD" w:rsidP="00BD62FB">
      <w:pPr>
        <w:spacing w:after="160" w:line="240" w:lineRule="auto"/>
        <w:rPr>
          <w:rFonts w:eastAsiaTheme="minorEastAsia" w:cstheme="minorHAnsi"/>
          <w:sz w:val="22"/>
          <w:szCs w:val="22"/>
          <w:lang w:eastAsia="en-AU"/>
        </w:rPr>
      </w:pPr>
      <w:r w:rsidRPr="00EF6BD2">
        <w:rPr>
          <w:rFonts w:eastAsiaTheme="minorEastAsia" w:cstheme="minorHAnsi"/>
          <w:b/>
          <w:sz w:val="22"/>
          <w:szCs w:val="22"/>
          <w:lang w:eastAsia="en-AU"/>
        </w:rPr>
        <w:t xml:space="preserve">Leanne Muffet </w:t>
      </w:r>
      <w:r w:rsidRPr="00EF6BD2">
        <w:rPr>
          <w:rFonts w:eastAsiaTheme="minorEastAsia" w:cstheme="minorHAnsi"/>
          <w:sz w:val="22"/>
          <w:szCs w:val="22"/>
          <w:lang w:eastAsia="en-AU"/>
        </w:rPr>
        <w:t xml:space="preserve">(CAP </w:t>
      </w:r>
      <w:r w:rsidR="00EE63A5" w:rsidRPr="00EF6BD2">
        <w:rPr>
          <w:rFonts w:eastAsiaTheme="minorEastAsia" w:cstheme="minorHAnsi"/>
          <w:sz w:val="22"/>
          <w:szCs w:val="22"/>
          <w:lang w:eastAsia="en-AU"/>
        </w:rPr>
        <w:t xml:space="preserve">Independent </w:t>
      </w:r>
      <w:r w:rsidRPr="00EF6BD2">
        <w:rPr>
          <w:rFonts w:eastAsiaTheme="minorEastAsia" w:cstheme="minorHAnsi"/>
          <w:sz w:val="22"/>
          <w:szCs w:val="22"/>
          <w:lang w:eastAsia="en-AU"/>
        </w:rPr>
        <w:t>Facilitator) opened the meeting and led the Acknowledgement of Country.</w:t>
      </w:r>
      <w:r w:rsidR="00214980" w:rsidRPr="00EF6BD2">
        <w:rPr>
          <w:rFonts w:eastAsiaTheme="minorEastAsia" w:cstheme="minorHAnsi"/>
          <w:sz w:val="22"/>
          <w:szCs w:val="22"/>
          <w:lang w:eastAsia="en-AU"/>
        </w:rPr>
        <w:t xml:space="preserve"> </w:t>
      </w:r>
    </w:p>
    <w:p w14:paraId="246E39ED" w14:textId="2772B627" w:rsidR="002D3AFB" w:rsidRPr="00EF6BD2" w:rsidRDefault="00214980" w:rsidP="00BD62FB">
      <w:pPr>
        <w:spacing w:after="160" w:line="240" w:lineRule="auto"/>
        <w:rPr>
          <w:rFonts w:eastAsiaTheme="minorEastAsia" w:cstheme="minorHAnsi"/>
          <w:sz w:val="22"/>
          <w:szCs w:val="22"/>
          <w:lang w:eastAsia="en-AU"/>
        </w:rPr>
      </w:pPr>
      <w:r w:rsidRPr="00EF6BD2">
        <w:rPr>
          <w:rFonts w:eastAsiaTheme="minorEastAsia" w:cstheme="minorHAnsi"/>
          <w:sz w:val="22"/>
          <w:szCs w:val="22"/>
          <w:lang w:eastAsia="en-AU"/>
        </w:rPr>
        <w:t xml:space="preserve">It was noted that </w:t>
      </w:r>
      <w:r w:rsidR="00CD7EDF" w:rsidRPr="00EF6BD2">
        <w:rPr>
          <w:rFonts w:eastAsiaTheme="minorEastAsia" w:cstheme="minorHAnsi"/>
          <w:sz w:val="22"/>
          <w:szCs w:val="22"/>
          <w:lang w:eastAsia="en-AU"/>
        </w:rPr>
        <w:t>Mark Hen</w:t>
      </w:r>
      <w:r w:rsidR="00ED35F8">
        <w:rPr>
          <w:rFonts w:eastAsiaTheme="minorEastAsia" w:cstheme="minorHAnsi"/>
          <w:sz w:val="22"/>
          <w:szCs w:val="22"/>
          <w:lang w:eastAsia="en-AU"/>
        </w:rPr>
        <w:t>ley</w:t>
      </w:r>
      <w:r w:rsidR="00CD7EDF" w:rsidRPr="00EF6BD2">
        <w:rPr>
          <w:rFonts w:eastAsiaTheme="minorEastAsia" w:cstheme="minorHAnsi"/>
          <w:sz w:val="22"/>
          <w:szCs w:val="22"/>
          <w:lang w:eastAsia="en-AU"/>
        </w:rPr>
        <w:t xml:space="preserve"> and Vikram Ken</w:t>
      </w:r>
      <w:r w:rsidR="0032224F" w:rsidRPr="00EF6BD2">
        <w:rPr>
          <w:rFonts w:eastAsiaTheme="minorEastAsia" w:cstheme="minorHAnsi"/>
          <w:sz w:val="22"/>
          <w:szCs w:val="22"/>
          <w:lang w:eastAsia="en-AU"/>
        </w:rPr>
        <w:t>jle</w:t>
      </w:r>
      <w:r w:rsidRPr="00EF6BD2">
        <w:rPr>
          <w:rFonts w:eastAsiaTheme="minorEastAsia" w:cstheme="minorHAnsi"/>
          <w:sz w:val="22"/>
          <w:szCs w:val="22"/>
          <w:lang w:eastAsia="en-AU"/>
        </w:rPr>
        <w:t xml:space="preserve"> </w:t>
      </w:r>
      <w:r w:rsidR="0032224F" w:rsidRPr="00EF6BD2">
        <w:rPr>
          <w:rFonts w:eastAsiaTheme="minorEastAsia" w:cstheme="minorHAnsi"/>
          <w:sz w:val="22"/>
          <w:szCs w:val="22"/>
          <w:lang w:eastAsia="en-AU"/>
        </w:rPr>
        <w:t>were</w:t>
      </w:r>
      <w:r w:rsidRPr="00EF6BD2">
        <w:rPr>
          <w:rFonts w:eastAsiaTheme="minorEastAsia" w:cstheme="minorHAnsi"/>
          <w:sz w:val="22"/>
          <w:szCs w:val="22"/>
          <w:lang w:eastAsia="en-AU"/>
        </w:rPr>
        <w:t xml:space="preserve"> apolog</w:t>
      </w:r>
      <w:r w:rsidR="003E3934">
        <w:rPr>
          <w:rFonts w:eastAsiaTheme="minorEastAsia" w:cstheme="minorHAnsi"/>
          <w:sz w:val="22"/>
          <w:szCs w:val="22"/>
          <w:lang w:eastAsia="en-AU"/>
        </w:rPr>
        <w:t>ies</w:t>
      </w:r>
      <w:r w:rsidRPr="00EF6BD2">
        <w:rPr>
          <w:rFonts w:eastAsiaTheme="minorEastAsia" w:cstheme="minorHAnsi"/>
          <w:sz w:val="22"/>
          <w:szCs w:val="22"/>
          <w:lang w:eastAsia="en-AU"/>
        </w:rPr>
        <w:t>.</w:t>
      </w:r>
      <w:r w:rsidR="00EE63A5" w:rsidRPr="00EF6BD2">
        <w:rPr>
          <w:rFonts w:eastAsiaTheme="minorEastAsia" w:cstheme="minorHAnsi"/>
          <w:sz w:val="22"/>
          <w:szCs w:val="22"/>
          <w:lang w:eastAsia="en-AU"/>
        </w:rPr>
        <w:t xml:space="preserve"> </w:t>
      </w:r>
      <w:r w:rsidR="0032224F" w:rsidRPr="00EF6BD2">
        <w:rPr>
          <w:rFonts w:eastAsiaTheme="minorEastAsia" w:cstheme="minorHAnsi"/>
          <w:sz w:val="22"/>
          <w:szCs w:val="22"/>
          <w:lang w:eastAsia="en-AU"/>
        </w:rPr>
        <w:t>Simon Maddocks joined online.</w:t>
      </w:r>
    </w:p>
    <w:p w14:paraId="313DA5BD" w14:textId="7A265EB2" w:rsidR="0091295F" w:rsidRPr="00EF6BD2" w:rsidRDefault="00E660B4" w:rsidP="00BD62FB">
      <w:pPr>
        <w:spacing w:after="160" w:line="240" w:lineRule="auto"/>
        <w:rPr>
          <w:rFonts w:eastAsiaTheme="minorEastAsia" w:cstheme="minorHAnsi"/>
          <w:b/>
          <w:bCs/>
          <w:sz w:val="22"/>
          <w:szCs w:val="22"/>
          <w:lang w:eastAsia="en-AU"/>
        </w:rPr>
      </w:pPr>
      <w:r>
        <w:rPr>
          <w:rFonts w:eastAsiaTheme="minorEastAsia" w:cstheme="minorHAnsi"/>
          <w:b/>
          <w:bCs/>
          <w:sz w:val="22"/>
          <w:szCs w:val="22"/>
          <w:lang w:eastAsia="en-AU"/>
        </w:rPr>
        <w:t>August a</w:t>
      </w:r>
      <w:r w:rsidR="0091295F" w:rsidRPr="00EF6BD2">
        <w:rPr>
          <w:rFonts w:eastAsiaTheme="minorEastAsia" w:cstheme="minorHAnsi"/>
          <w:b/>
          <w:bCs/>
          <w:sz w:val="22"/>
          <w:szCs w:val="22"/>
          <w:lang w:eastAsia="en-AU"/>
        </w:rPr>
        <w:t xml:space="preserve">ction items were reviewed with two items </w:t>
      </w:r>
      <w:r w:rsidR="003E3934">
        <w:rPr>
          <w:rFonts w:eastAsiaTheme="minorEastAsia" w:cstheme="minorHAnsi"/>
          <w:b/>
          <w:bCs/>
          <w:sz w:val="22"/>
          <w:szCs w:val="22"/>
          <w:lang w:eastAsia="en-AU"/>
        </w:rPr>
        <w:t xml:space="preserve">to </w:t>
      </w:r>
      <w:r w:rsidR="0091295F" w:rsidRPr="00EF6BD2">
        <w:rPr>
          <w:rFonts w:eastAsiaTheme="minorEastAsia" w:cstheme="minorHAnsi"/>
          <w:b/>
          <w:bCs/>
          <w:sz w:val="22"/>
          <w:szCs w:val="22"/>
          <w:lang w:eastAsia="en-AU"/>
        </w:rPr>
        <w:t>be carried into 2026</w:t>
      </w:r>
      <w:r w:rsidR="003E3934">
        <w:rPr>
          <w:rFonts w:eastAsiaTheme="minorEastAsia" w:cstheme="minorHAnsi"/>
          <w:b/>
          <w:bCs/>
          <w:sz w:val="22"/>
          <w:szCs w:val="22"/>
          <w:lang w:eastAsia="en-AU"/>
        </w:rPr>
        <w:t>:</w:t>
      </w:r>
    </w:p>
    <w:p w14:paraId="643F1594" w14:textId="42D18168" w:rsidR="0091295F" w:rsidRPr="003E3934" w:rsidRDefault="0091295F" w:rsidP="003E3934">
      <w:pPr>
        <w:pStyle w:val="ListParagraph"/>
        <w:numPr>
          <w:ilvl w:val="0"/>
          <w:numId w:val="73"/>
        </w:numPr>
        <w:spacing w:after="160" w:line="240" w:lineRule="auto"/>
        <w:rPr>
          <w:rFonts w:eastAsiaTheme="minorEastAsia" w:cstheme="minorHAnsi"/>
          <w:sz w:val="22"/>
          <w:szCs w:val="22"/>
          <w:lang w:eastAsia="en-AU"/>
        </w:rPr>
      </w:pPr>
      <w:r w:rsidRPr="003E3934">
        <w:rPr>
          <w:rFonts w:eastAsiaTheme="minorEastAsia" w:cstheme="minorHAnsi"/>
          <w:sz w:val="22"/>
          <w:szCs w:val="22"/>
          <w:lang w:eastAsia="en-AU"/>
        </w:rPr>
        <w:t xml:space="preserve">Action item 3 – Energy </w:t>
      </w:r>
      <w:r w:rsidR="003E3934">
        <w:rPr>
          <w:rFonts w:eastAsiaTheme="minorEastAsia" w:cstheme="minorHAnsi"/>
          <w:sz w:val="22"/>
          <w:szCs w:val="22"/>
          <w:lang w:eastAsia="en-AU"/>
        </w:rPr>
        <w:t>C</w:t>
      </w:r>
      <w:r w:rsidRPr="003E3934">
        <w:rPr>
          <w:rFonts w:eastAsiaTheme="minorEastAsia" w:cstheme="minorHAnsi"/>
          <w:sz w:val="22"/>
          <w:szCs w:val="22"/>
          <w:lang w:eastAsia="en-AU"/>
        </w:rPr>
        <w:t xml:space="preserve">harter membership to be explored further </w:t>
      </w:r>
    </w:p>
    <w:p w14:paraId="5B61B9DB" w14:textId="2FB5F056" w:rsidR="0091295F" w:rsidRPr="003E3934" w:rsidRDefault="0091295F" w:rsidP="003E3934">
      <w:pPr>
        <w:pStyle w:val="ListParagraph"/>
        <w:numPr>
          <w:ilvl w:val="0"/>
          <w:numId w:val="73"/>
        </w:numPr>
        <w:spacing w:after="160" w:line="240" w:lineRule="auto"/>
        <w:rPr>
          <w:rFonts w:eastAsiaTheme="minorEastAsia" w:cstheme="minorHAnsi"/>
          <w:sz w:val="22"/>
          <w:szCs w:val="22"/>
          <w:lang w:eastAsia="en-AU"/>
        </w:rPr>
      </w:pPr>
      <w:r w:rsidRPr="003E3934">
        <w:rPr>
          <w:rFonts w:eastAsiaTheme="minorEastAsia" w:cstheme="minorHAnsi"/>
          <w:sz w:val="22"/>
          <w:szCs w:val="22"/>
          <w:lang w:eastAsia="en-AU"/>
        </w:rPr>
        <w:t xml:space="preserve">Action Item 6 </w:t>
      </w:r>
      <w:r w:rsidR="00052BC6" w:rsidRPr="003E3934">
        <w:rPr>
          <w:rFonts w:eastAsiaTheme="minorEastAsia" w:cstheme="minorHAnsi"/>
          <w:sz w:val="22"/>
          <w:szCs w:val="22"/>
          <w:lang w:eastAsia="en-AU"/>
        </w:rPr>
        <w:t>- out</w:t>
      </w:r>
      <w:r w:rsidRPr="003E3934">
        <w:rPr>
          <w:rFonts w:eastAsiaTheme="minorEastAsia" w:cstheme="minorHAnsi"/>
          <w:sz w:val="22"/>
          <w:szCs w:val="22"/>
          <w:lang w:eastAsia="en-AU"/>
        </w:rPr>
        <w:t xml:space="preserve"> of session meeting on the FERM with EUAA </w:t>
      </w:r>
    </w:p>
    <w:p w14:paraId="3D315EB6" w14:textId="7ADBF331" w:rsidR="003B319A" w:rsidRPr="003E3934" w:rsidRDefault="31518E1E" w:rsidP="00BD62FB">
      <w:pPr>
        <w:spacing w:after="160" w:line="240" w:lineRule="auto"/>
        <w:rPr>
          <w:rFonts w:eastAsiaTheme="minorEastAsia" w:cstheme="minorHAnsi"/>
          <w:b/>
          <w:bCs/>
          <w:i/>
          <w:iCs/>
          <w:sz w:val="22"/>
          <w:szCs w:val="22"/>
        </w:rPr>
      </w:pPr>
      <w:r w:rsidRPr="003E3934">
        <w:rPr>
          <w:rFonts w:eastAsiaTheme="minorEastAsia" w:cstheme="minorHAnsi"/>
          <w:b/>
          <w:bCs/>
          <w:sz w:val="22"/>
          <w:szCs w:val="22"/>
        </w:rPr>
        <w:t xml:space="preserve">The minutes from the </w:t>
      </w:r>
      <w:r w:rsidR="003E3934">
        <w:rPr>
          <w:rFonts w:eastAsiaTheme="minorEastAsia" w:cstheme="minorHAnsi"/>
          <w:b/>
          <w:bCs/>
          <w:sz w:val="22"/>
          <w:szCs w:val="22"/>
        </w:rPr>
        <w:t xml:space="preserve">CAP </w:t>
      </w:r>
      <w:r w:rsidRPr="003E3934">
        <w:rPr>
          <w:rFonts w:eastAsiaTheme="minorEastAsia" w:cstheme="minorHAnsi"/>
          <w:b/>
          <w:bCs/>
          <w:sz w:val="22"/>
          <w:szCs w:val="22"/>
        </w:rPr>
        <w:t xml:space="preserve">meeting held on </w:t>
      </w:r>
      <w:r w:rsidR="0032224F" w:rsidRPr="003E3934">
        <w:rPr>
          <w:rFonts w:eastAsiaTheme="minorEastAsia" w:cstheme="minorHAnsi"/>
          <w:b/>
          <w:bCs/>
          <w:sz w:val="22"/>
          <w:szCs w:val="22"/>
        </w:rPr>
        <w:t xml:space="preserve">21 August </w:t>
      </w:r>
      <w:r w:rsidR="003E3934" w:rsidRPr="003E3934">
        <w:rPr>
          <w:rFonts w:eastAsiaTheme="minorEastAsia" w:cstheme="minorHAnsi"/>
          <w:b/>
          <w:bCs/>
          <w:sz w:val="22"/>
          <w:szCs w:val="22"/>
        </w:rPr>
        <w:t xml:space="preserve">2026 </w:t>
      </w:r>
      <w:r w:rsidRPr="003E3934">
        <w:rPr>
          <w:rFonts w:eastAsiaTheme="minorEastAsia" w:cstheme="minorHAnsi"/>
          <w:b/>
          <w:bCs/>
          <w:sz w:val="22"/>
          <w:szCs w:val="22"/>
        </w:rPr>
        <w:t>were approved</w:t>
      </w:r>
      <w:r w:rsidRPr="003E3934">
        <w:rPr>
          <w:rFonts w:eastAsiaTheme="minorEastAsia" w:cstheme="minorHAnsi"/>
          <w:b/>
          <w:bCs/>
          <w:i/>
          <w:iCs/>
          <w:sz w:val="22"/>
          <w:szCs w:val="22"/>
        </w:rPr>
        <w:t>.</w:t>
      </w:r>
    </w:p>
    <w:p w14:paraId="6889727A" w14:textId="6D00AE4F" w:rsidR="00052BC6" w:rsidRPr="00EF6BD2" w:rsidRDefault="003E3934" w:rsidP="00052BC6">
      <w:pPr>
        <w:spacing w:after="160" w:line="240" w:lineRule="auto"/>
        <w:rPr>
          <w:rFonts w:eastAsiaTheme="minorEastAsia" w:cstheme="minorHAnsi"/>
          <w:sz w:val="22"/>
          <w:szCs w:val="22"/>
        </w:rPr>
      </w:pPr>
      <w:r>
        <w:rPr>
          <w:rFonts w:eastAsiaTheme="minorEastAsia" w:cstheme="minorHAnsi"/>
          <w:sz w:val="22"/>
          <w:szCs w:val="22"/>
        </w:rPr>
        <w:lastRenderedPageBreak/>
        <w:t>It was noted that t</w:t>
      </w:r>
      <w:r w:rsidR="00052BC6" w:rsidRPr="00EF6BD2">
        <w:rPr>
          <w:rFonts w:eastAsiaTheme="minorEastAsia" w:cstheme="minorHAnsi"/>
          <w:sz w:val="22"/>
          <w:szCs w:val="22"/>
        </w:rPr>
        <w:t xml:space="preserve">he CAP received a </w:t>
      </w:r>
      <w:r>
        <w:rPr>
          <w:rFonts w:eastAsiaTheme="minorEastAsia" w:cstheme="minorHAnsi"/>
          <w:sz w:val="22"/>
          <w:szCs w:val="22"/>
        </w:rPr>
        <w:t>response</w:t>
      </w:r>
      <w:r w:rsidR="00052BC6" w:rsidRPr="00EF6BD2">
        <w:rPr>
          <w:rFonts w:eastAsiaTheme="minorEastAsia" w:cstheme="minorHAnsi"/>
          <w:sz w:val="22"/>
          <w:szCs w:val="22"/>
        </w:rPr>
        <w:t xml:space="preserve"> on 25 November </w:t>
      </w:r>
      <w:r>
        <w:rPr>
          <w:rFonts w:eastAsiaTheme="minorEastAsia" w:cstheme="minorHAnsi"/>
          <w:sz w:val="22"/>
          <w:szCs w:val="22"/>
        </w:rPr>
        <w:t xml:space="preserve">2025 </w:t>
      </w:r>
      <w:r w:rsidR="00052BC6" w:rsidRPr="00EF6BD2">
        <w:rPr>
          <w:rFonts w:eastAsiaTheme="minorEastAsia" w:cstheme="minorHAnsi"/>
          <w:sz w:val="22"/>
          <w:szCs w:val="22"/>
        </w:rPr>
        <w:t xml:space="preserve">from </w:t>
      </w:r>
      <w:r>
        <w:rPr>
          <w:rFonts w:eastAsiaTheme="minorEastAsia" w:cstheme="minorHAnsi"/>
          <w:sz w:val="22"/>
          <w:szCs w:val="22"/>
        </w:rPr>
        <w:t xml:space="preserve">the </w:t>
      </w:r>
      <w:r w:rsidR="00052BC6" w:rsidRPr="00EF6BD2">
        <w:rPr>
          <w:rFonts w:eastAsiaTheme="minorEastAsia" w:cstheme="minorHAnsi"/>
          <w:sz w:val="22"/>
          <w:szCs w:val="22"/>
        </w:rPr>
        <w:t xml:space="preserve">AER to </w:t>
      </w:r>
      <w:r>
        <w:rPr>
          <w:rFonts w:eastAsiaTheme="minorEastAsia" w:cstheme="minorHAnsi"/>
          <w:sz w:val="22"/>
          <w:szCs w:val="22"/>
        </w:rPr>
        <w:t xml:space="preserve">its </w:t>
      </w:r>
      <w:r w:rsidR="00052BC6" w:rsidRPr="00EF6BD2">
        <w:rPr>
          <w:rFonts w:eastAsiaTheme="minorEastAsia" w:cstheme="minorHAnsi"/>
          <w:sz w:val="22"/>
          <w:szCs w:val="22"/>
        </w:rPr>
        <w:t xml:space="preserve">joint request for early involvement of the Consumer Challenge Panel (CCP) in the ElectraNet 2028–33 </w:t>
      </w:r>
      <w:r>
        <w:rPr>
          <w:rFonts w:eastAsiaTheme="minorEastAsia" w:cstheme="minorHAnsi"/>
          <w:sz w:val="22"/>
          <w:szCs w:val="22"/>
        </w:rPr>
        <w:t xml:space="preserve">revenue </w:t>
      </w:r>
      <w:r w:rsidR="00052BC6" w:rsidRPr="00EF6BD2">
        <w:rPr>
          <w:rFonts w:eastAsiaTheme="minorEastAsia" w:cstheme="minorHAnsi"/>
          <w:sz w:val="22"/>
          <w:szCs w:val="22"/>
        </w:rPr>
        <w:t xml:space="preserve">reset process. The letter advises that the AER </w:t>
      </w:r>
      <w:r>
        <w:rPr>
          <w:rFonts w:eastAsiaTheme="minorEastAsia" w:cstheme="minorHAnsi"/>
          <w:sz w:val="22"/>
          <w:szCs w:val="22"/>
        </w:rPr>
        <w:t xml:space="preserve">is </w:t>
      </w:r>
      <w:r w:rsidR="00052BC6" w:rsidRPr="00EF6BD2">
        <w:rPr>
          <w:rFonts w:eastAsiaTheme="minorEastAsia" w:cstheme="minorHAnsi"/>
          <w:sz w:val="22"/>
          <w:szCs w:val="22"/>
        </w:rPr>
        <w:t>unable to commit to CCP participation at this stage due to resourc</w:t>
      </w:r>
      <w:r>
        <w:rPr>
          <w:rFonts w:eastAsiaTheme="minorEastAsia" w:cstheme="minorHAnsi"/>
          <w:sz w:val="22"/>
          <w:szCs w:val="22"/>
        </w:rPr>
        <w:t>ing constraints</w:t>
      </w:r>
      <w:r w:rsidR="00052BC6" w:rsidRPr="00EF6BD2">
        <w:rPr>
          <w:rFonts w:eastAsiaTheme="minorEastAsia" w:cstheme="minorHAnsi"/>
          <w:sz w:val="22"/>
          <w:szCs w:val="22"/>
        </w:rPr>
        <w:t>. A decision regarding CCP involvement will be made in early 2026, and in the meantime, the AER will continue regular engagement with ElectraNet and the CAP.</w:t>
      </w:r>
      <w:r w:rsidR="002B113A">
        <w:rPr>
          <w:rFonts w:eastAsiaTheme="minorEastAsia" w:cstheme="minorHAnsi"/>
          <w:sz w:val="22"/>
          <w:szCs w:val="22"/>
        </w:rPr>
        <w:t xml:space="preserve"> It was agreed that mild pressure should be maintained on the AER to appoint the CCP.</w:t>
      </w:r>
    </w:p>
    <w:p w14:paraId="4173CAFD" w14:textId="2F18B118" w:rsidR="005917F1" w:rsidRPr="00EF6BD2" w:rsidRDefault="005917F1" w:rsidP="005917F1">
      <w:pPr>
        <w:spacing w:after="160" w:line="240" w:lineRule="auto"/>
        <w:rPr>
          <w:rFonts w:eastAsiaTheme="minorEastAsia" w:cstheme="minorHAnsi"/>
          <w:sz w:val="22"/>
          <w:szCs w:val="22"/>
        </w:rPr>
      </w:pPr>
      <w:r w:rsidRPr="00EF6BD2">
        <w:rPr>
          <w:rFonts w:eastAsiaTheme="minorEastAsia" w:cstheme="minorHAnsi"/>
          <w:b/>
          <w:bCs/>
          <w:sz w:val="22"/>
          <w:szCs w:val="22"/>
        </w:rPr>
        <w:t xml:space="preserve">Jeremy Tustin </w:t>
      </w:r>
      <w:r w:rsidRPr="00EF6BD2">
        <w:rPr>
          <w:rFonts w:eastAsiaTheme="minorEastAsia" w:cstheme="minorHAnsi"/>
          <w:sz w:val="22"/>
          <w:szCs w:val="22"/>
        </w:rPr>
        <w:t>advised that AER staff</w:t>
      </w:r>
      <w:r w:rsidR="00C050C5">
        <w:rPr>
          <w:rFonts w:eastAsiaTheme="minorEastAsia" w:cstheme="minorHAnsi"/>
          <w:sz w:val="22"/>
          <w:szCs w:val="22"/>
        </w:rPr>
        <w:t xml:space="preserve"> will start</w:t>
      </w:r>
      <w:r w:rsidRPr="00EF6BD2">
        <w:rPr>
          <w:rFonts w:eastAsiaTheme="minorEastAsia" w:cstheme="minorHAnsi"/>
          <w:sz w:val="22"/>
          <w:szCs w:val="22"/>
        </w:rPr>
        <w:t xml:space="preserve"> attending RRRG meetings from </w:t>
      </w:r>
      <w:r w:rsidR="003E3934">
        <w:rPr>
          <w:rFonts w:eastAsiaTheme="minorEastAsia" w:cstheme="minorHAnsi"/>
          <w:sz w:val="22"/>
          <w:szCs w:val="22"/>
        </w:rPr>
        <w:t>2026</w:t>
      </w:r>
      <w:r w:rsidRPr="00EF6BD2">
        <w:rPr>
          <w:rFonts w:eastAsiaTheme="minorEastAsia" w:cstheme="minorHAnsi"/>
          <w:sz w:val="22"/>
          <w:szCs w:val="22"/>
        </w:rPr>
        <w:t>.</w:t>
      </w:r>
    </w:p>
    <w:p w14:paraId="0B3BFBD1" w14:textId="3DDDCD1C" w:rsidR="000232D9" w:rsidRPr="00EF6BD2" w:rsidRDefault="000232D9" w:rsidP="000232D9">
      <w:pPr>
        <w:spacing w:after="160" w:line="240" w:lineRule="auto"/>
        <w:rPr>
          <w:rFonts w:eastAsiaTheme="minorEastAsia" w:cstheme="minorHAnsi"/>
          <w:sz w:val="22"/>
          <w:szCs w:val="22"/>
        </w:rPr>
      </w:pPr>
      <w:r w:rsidRPr="00EF6BD2">
        <w:rPr>
          <w:rFonts w:eastAsiaTheme="minorEastAsia" w:cstheme="minorHAnsi"/>
          <w:b/>
          <w:bCs/>
          <w:sz w:val="22"/>
          <w:szCs w:val="22"/>
        </w:rPr>
        <w:t>Bec Malhotra</w:t>
      </w:r>
      <w:r w:rsidRPr="00EF6BD2">
        <w:rPr>
          <w:rFonts w:eastAsiaTheme="minorEastAsia" w:cstheme="minorHAnsi"/>
          <w:sz w:val="22"/>
          <w:szCs w:val="22"/>
        </w:rPr>
        <w:t xml:space="preserve"> noted that the CAP has access to a consulting budget, which could be used to engage former CCP members if early involvement is not provided by the AER. Any request to use these funds should come from the CAP to ElectraNet.</w:t>
      </w:r>
    </w:p>
    <w:p w14:paraId="2C44C48F" w14:textId="50ECAFBB" w:rsidR="007E53EC" w:rsidRPr="00DC4260" w:rsidRDefault="007E53EC" w:rsidP="00893D3A">
      <w:pPr>
        <w:pStyle w:val="Heading3"/>
        <w:rPr>
          <w:rFonts w:asciiTheme="minorHAnsi" w:hAnsiTheme="minorHAnsi"/>
          <w:b/>
          <w:bCs/>
        </w:rPr>
      </w:pPr>
      <w:r w:rsidRPr="00DC4260">
        <w:rPr>
          <w:rFonts w:asciiTheme="minorHAnsi" w:hAnsiTheme="minorHAnsi"/>
          <w:b/>
          <w:bCs/>
        </w:rPr>
        <w:t xml:space="preserve">SAPN CAF/CAP Meeting </w:t>
      </w:r>
    </w:p>
    <w:p w14:paraId="31401DB1" w14:textId="25542AD1" w:rsidR="002B113A" w:rsidRDefault="00893D3A" w:rsidP="00796AAC">
      <w:pPr>
        <w:spacing w:after="160" w:line="240" w:lineRule="auto"/>
        <w:rPr>
          <w:rFonts w:eastAsiaTheme="minorEastAsia" w:cstheme="minorHAnsi"/>
          <w:sz w:val="22"/>
          <w:szCs w:val="22"/>
        </w:rPr>
      </w:pPr>
      <w:r w:rsidRPr="00CB7D61">
        <w:rPr>
          <w:rFonts w:eastAsiaTheme="minorEastAsia" w:cstheme="minorHAnsi"/>
          <w:b/>
          <w:bCs/>
          <w:sz w:val="22"/>
          <w:szCs w:val="22"/>
        </w:rPr>
        <w:t>Jeremy Tustin</w:t>
      </w:r>
      <w:r w:rsidRPr="00CB7D61">
        <w:rPr>
          <w:rFonts w:eastAsiaTheme="minorEastAsia" w:cstheme="minorHAnsi"/>
          <w:sz w:val="22"/>
          <w:szCs w:val="22"/>
        </w:rPr>
        <w:t xml:space="preserve"> provided an update on the joint SAPN CAF and ElectraNet CAP meeting. Key topics included demand forecasting for South Australia’s industrial growth, the Firm Energy Reliability Mechanism (FERM), and strategies for reliable energy supply to Leigh Creek and Hawker. The meeting addressed challenges in forecasting large industrial loads, considered regulated Stand-Alone Power Systems as a solution, and stressed the importance of early, respectful engagement with First Nations communities. </w:t>
      </w:r>
    </w:p>
    <w:p w14:paraId="03D53740" w14:textId="686F5D37" w:rsidR="00796AAC" w:rsidRPr="00CB7D61" w:rsidRDefault="00796AAC" w:rsidP="00796AAC">
      <w:pPr>
        <w:spacing w:after="160" w:line="240" w:lineRule="auto"/>
        <w:rPr>
          <w:rFonts w:eastAsiaTheme="minorEastAsia" w:cstheme="minorHAnsi"/>
          <w:sz w:val="22"/>
          <w:szCs w:val="22"/>
        </w:rPr>
      </w:pPr>
      <w:r w:rsidRPr="00CB7D61">
        <w:rPr>
          <w:rFonts w:eastAsiaTheme="minorEastAsia" w:cstheme="minorHAnsi"/>
          <w:sz w:val="22"/>
          <w:szCs w:val="22"/>
        </w:rPr>
        <w:t xml:space="preserve">It was </w:t>
      </w:r>
      <w:r w:rsidR="00E26790">
        <w:rPr>
          <w:rFonts w:eastAsiaTheme="minorEastAsia" w:cstheme="minorHAnsi"/>
          <w:sz w:val="22"/>
          <w:szCs w:val="22"/>
        </w:rPr>
        <w:t>agreed the two groups should continue to look for shared value</w:t>
      </w:r>
      <w:r w:rsidR="00E26790" w:rsidRPr="00CB7D61">
        <w:rPr>
          <w:rFonts w:eastAsiaTheme="minorEastAsia" w:cstheme="minorHAnsi"/>
          <w:sz w:val="22"/>
          <w:szCs w:val="22"/>
        </w:rPr>
        <w:t>,</w:t>
      </w:r>
      <w:r w:rsidR="00E26790">
        <w:rPr>
          <w:rFonts w:eastAsiaTheme="minorEastAsia" w:cstheme="minorHAnsi"/>
          <w:sz w:val="22"/>
          <w:szCs w:val="22"/>
        </w:rPr>
        <w:t xml:space="preserve"> and consider </w:t>
      </w:r>
      <w:r w:rsidR="00CB7D61">
        <w:rPr>
          <w:rFonts w:eastAsiaTheme="minorEastAsia" w:cstheme="minorHAnsi"/>
          <w:sz w:val="22"/>
          <w:szCs w:val="22"/>
        </w:rPr>
        <w:t>reconven</w:t>
      </w:r>
      <w:r w:rsidR="00E26790">
        <w:rPr>
          <w:rFonts w:eastAsiaTheme="minorEastAsia" w:cstheme="minorHAnsi"/>
          <w:sz w:val="22"/>
          <w:szCs w:val="22"/>
        </w:rPr>
        <w:t>ing</w:t>
      </w:r>
      <w:r w:rsidR="00CB7D61">
        <w:rPr>
          <w:rFonts w:eastAsiaTheme="minorEastAsia" w:cstheme="minorHAnsi"/>
          <w:sz w:val="22"/>
          <w:szCs w:val="22"/>
        </w:rPr>
        <w:t xml:space="preserve"> </w:t>
      </w:r>
      <w:r w:rsidRPr="00CB7D61">
        <w:rPr>
          <w:rFonts w:eastAsiaTheme="minorEastAsia" w:cstheme="minorHAnsi"/>
          <w:sz w:val="22"/>
          <w:szCs w:val="22"/>
        </w:rPr>
        <w:t xml:space="preserve">in </w:t>
      </w:r>
      <w:r w:rsidR="00CB7D61">
        <w:rPr>
          <w:rFonts w:eastAsiaTheme="minorEastAsia" w:cstheme="minorHAnsi"/>
          <w:sz w:val="22"/>
          <w:szCs w:val="22"/>
        </w:rPr>
        <w:t xml:space="preserve">early </w:t>
      </w:r>
      <w:r w:rsidR="00893D3A" w:rsidRPr="00CB7D61">
        <w:rPr>
          <w:rFonts w:eastAsiaTheme="minorEastAsia" w:cstheme="minorHAnsi"/>
          <w:sz w:val="22"/>
          <w:szCs w:val="22"/>
        </w:rPr>
        <w:t>2026</w:t>
      </w:r>
      <w:r w:rsidR="002B113A">
        <w:rPr>
          <w:rFonts w:eastAsiaTheme="minorEastAsia" w:cstheme="minorHAnsi"/>
          <w:sz w:val="22"/>
          <w:szCs w:val="22"/>
        </w:rPr>
        <w:t>,</w:t>
      </w:r>
      <w:r w:rsidR="00893D3A" w:rsidRPr="00CB7D61">
        <w:rPr>
          <w:rFonts w:eastAsiaTheme="minorEastAsia" w:cstheme="minorHAnsi"/>
          <w:sz w:val="22"/>
          <w:szCs w:val="22"/>
        </w:rPr>
        <w:t xml:space="preserve"> with a</w:t>
      </w:r>
      <w:r w:rsidR="00CB7D61">
        <w:rPr>
          <w:rFonts w:eastAsiaTheme="minorEastAsia" w:cstheme="minorHAnsi"/>
          <w:sz w:val="22"/>
          <w:szCs w:val="22"/>
        </w:rPr>
        <w:t xml:space="preserve"> focus </w:t>
      </w:r>
      <w:r w:rsidR="00893D3A" w:rsidRPr="00CB7D61">
        <w:rPr>
          <w:rFonts w:eastAsiaTheme="minorEastAsia" w:cstheme="minorHAnsi"/>
          <w:sz w:val="22"/>
          <w:szCs w:val="22"/>
        </w:rPr>
        <w:t>on joint planning, information sharing,</w:t>
      </w:r>
      <w:r w:rsidR="005917F1" w:rsidRPr="00CB7D61">
        <w:rPr>
          <w:rFonts w:eastAsiaTheme="minorEastAsia" w:cstheme="minorHAnsi"/>
          <w:sz w:val="22"/>
          <w:szCs w:val="22"/>
        </w:rPr>
        <w:t xml:space="preserve"> collaboration with State Government</w:t>
      </w:r>
      <w:r w:rsidR="00893D3A" w:rsidRPr="00CB7D61">
        <w:rPr>
          <w:rFonts w:eastAsiaTheme="minorEastAsia" w:cstheme="minorHAnsi"/>
          <w:sz w:val="22"/>
          <w:szCs w:val="22"/>
        </w:rPr>
        <w:t xml:space="preserve"> and ensuring First Nations perspectives </w:t>
      </w:r>
      <w:r w:rsidR="00CB7D61">
        <w:rPr>
          <w:rFonts w:eastAsiaTheme="minorEastAsia" w:cstheme="minorHAnsi"/>
          <w:sz w:val="22"/>
          <w:szCs w:val="22"/>
        </w:rPr>
        <w:t xml:space="preserve">are </w:t>
      </w:r>
      <w:r w:rsidR="00E660B4" w:rsidRPr="00CB7D61">
        <w:rPr>
          <w:rFonts w:eastAsiaTheme="minorEastAsia" w:cstheme="minorHAnsi"/>
          <w:sz w:val="22"/>
          <w:szCs w:val="22"/>
        </w:rPr>
        <w:t>incorporated in decision making.</w:t>
      </w:r>
      <w:r w:rsidRPr="00CB7D61">
        <w:rPr>
          <w:rFonts w:eastAsiaTheme="minorEastAsia" w:cstheme="minorHAnsi"/>
          <w:sz w:val="22"/>
          <w:szCs w:val="22"/>
        </w:rPr>
        <w:t xml:space="preserve"> </w:t>
      </w:r>
    </w:p>
    <w:p w14:paraId="7F02110C" w14:textId="12BE4CE8" w:rsidR="00040701" w:rsidRPr="00DC4260" w:rsidRDefault="00040701" w:rsidP="00893D3A">
      <w:pPr>
        <w:pStyle w:val="Heading3"/>
        <w:rPr>
          <w:rFonts w:asciiTheme="minorHAnsi" w:hAnsiTheme="minorHAnsi"/>
          <w:b/>
          <w:bCs/>
          <w:lang w:eastAsia="en-AU"/>
        </w:rPr>
      </w:pPr>
      <w:r w:rsidRPr="00DC4260">
        <w:rPr>
          <w:rFonts w:asciiTheme="minorHAnsi" w:hAnsiTheme="minorHAnsi"/>
          <w:b/>
          <w:bCs/>
          <w:lang w:eastAsia="en-AU"/>
        </w:rPr>
        <w:t>ElectraNet update</w:t>
      </w:r>
    </w:p>
    <w:p w14:paraId="1447AF74" w14:textId="5B5E504E" w:rsidR="00893D3A" w:rsidRPr="00CB7D61" w:rsidRDefault="00893D3A" w:rsidP="00893D3A">
      <w:pPr>
        <w:spacing w:after="160" w:line="240" w:lineRule="auto"/>
        <w:rPr>
          <w:rFonts w:eastAsia="Times New Roman" w:cstheme="minorHAnsi"/>
          <w:sz w:val="22"/>
          <w:szCs w:val="22"/>
          <w:lang w:eastAsia="en-AU"/>
        </w:rPr>
      </w:pPr>
      <w:r w:rsidRPr="00CB7D61">
        <w:rPr>
          <w:rFonts w:eastAsia="Times New Roman" w:cstheme="minorHAnsi"/>
          <w:b/>
          <w:bCs/>
          <w:sz w:val="22"/>
          <w:szCs w:val="22"/>
          <w:lang w:eastAsia="en-AU"/>
        </w:rPr>
        <w:t>Simon Appleby</w:t>
      </w:r>
      <w:r w:rsidRPr="00CB7D61">
        <w:rPr>
          <w:rFonts w:eastAsia="Times New Roman" w:cstheme="minorHAnsi"/>
          <w:sz w:val="22"/>
          <w:szCs w:val="22"/>
          <w:lang w:eastAsia="en-AU"/>
        </w:rPr>
        <w:t xml:space="preserve"> advised that Chris Hanna</w:t>
      </w:r>
      <w:r w:rsidR="00DC4260" w:rsidRPr="00CB7D61">
        <w:rPr>
          <w:rFonts w:eastAsia="Times New Roman" w:cstheme="minorHAnsi"/>
          <w:sz w:val="22"/>
          <w:szCs w:val="22"/>
          <w:lang w:eastAsia="en-AU"/>
        </w:rPr>
        <w:t>, Corporate Affairs Manager</w:t>
      </w:r>
      <w:r w:rsidRPr="00CB7D61">
        <w:rPr>
          <w:rFonts w:eastAsia="Times New Roman" w:cstheme="minorHAnsi"/>
          <w:sz w:val="22"/>
          <w:szCs w:val="22"/>
          <w:lang w:eastAsia="en-AU"/>
        </w:rPr>
        <w:t xml:space="preserve"> has concluded his role at ElectraNet and expressed sincere thanks for Chris’s significant contributions and dedicated involvement with the CAP over the years. Moving forward, Jeremy Tustin will focus on regulatory matters, Simon Appleby will take on the lead </w:t>
      </w:r>
      <w:r w:rsidR="00CB7D61">
        <w:rPr>
          <w:rFonts w:eastAsia="Times New Roman" w:cstheme="minorHAnsi"/>
          <w:sz w:val="22"/>
          <w:szCs w:val="22"/>
          <w:lang w:eastAsia="en-AU"/>
        </w:rPr>
        <w:t>engagement</w:t>
      </w:r>
      <w:r w:rsidRPr="00CB7D61">
        <w:rPr>
          <w:rFonts w:eastAsia="Times New Roman" w:cstheme="minorHAnsi"/>
          <w:sz w:val="22"/>
          <w:szCs w:val="22"/>
          <w:lang w:eastAsia="en-AU"/>
        </w:rPr>
        <w:t xml:space="preserve"> role for the CAP, Alycia</w:t>
      </w:r>
      <w:r w:rsidR="00796AAC" w:rsidRPr="00CB7D61">
        <w:rPr>
          <w:rFonts w:eastAsia="Times New Roman" w:cstheme="minorHAnsi"/>
          <w:sz w:val="22"/>
          <w:szCs w:val="22"/>
          <w:lang w:eastAsia="en-AU"/>
        </w:rPr>
        <w:t xml:space="preserve"> Martin</w:t>
      </w:r>
      <w:r w:rsidRPr="00CB7D61">
        <w:rPr>
          <w:rFonts w:eastAsia="Times New Roman" w:cstheme="minorHAnsi"/>
          <w:sz w:val="22"/>
          <w:szCs w:val="22"/>
          <w:lang w:eastAsia="en-AU"/>
        </w:rPr>
        <w:t xml:space="preserve"> will provide support, a</w:t>
      </w:r>
      <w:r w:rsidR="00796AAC" w:rsidRPr="00CB7D61">
        <w:rPr>
          <w:rFonts w:eastAsia="Times New Roman" w:cstheme="minorHAnsi"/>
          <w:sz w:val="22"/>
          <w:szCs w:val="22"/>
          <w:lang w:eastAsia="en-AU"/>
        </w:rPr>
        <w:t>s we</w:t>
      </w:r>
      <w:r w:rsidR="00ED35F8" w:rsidRPr="00CB7D61">
        <w:rPr>
          <w:rFonts w:eastAsia="Times New Roman" w:cstheme="minorHAnsi"/>
          <w:sz w:val="22"/>
          <w:szCs w:val="22"/>
          <w:lang w:eastAsia="en-AU"/>
        </w:rPr>
        <w:t>ll</w:t>
      </w:r>
      <w:r w:rsidR="00796AAC" w:rsidRPr="00CB7D61">
        <w:rPr>
          <w:rFonts w:eastAsia="Times New Roman" w:cstheme="minorHAnsi"/>
          <w:sz w:val="22"/>
          <w:szCs w:val="22"/>
          <w:lang w:eastAsia="en-AU"/>
        </w:rPr>
        <w:t xml:space="preserve"> as</w:t>
      </w:r>
      <w:r w:rsidRPr="00CB7D61">
        <w:rPr>
          <w:rFonts w:eastAsia="Times New Roman" w:cstheme="minorHAnsi"/>
          <w:sz w:val="22"/>
          <w:szCs w:val="22"/>
          <w:lang w:eastAsia="en-AU"/>
        </w:rPr>
        <w:t xml:space="preserve"> </w:t>
      </w:r>
      <w:r w:rsidR="00ED35F8" w:rsidRPr="00CB7D61">
        <w:rPr>
          <w:rFonts w:eastAsia="Times New Roman" w:cstheme="minorHAnsi"/>
          <w:sz w:val="22"/>
          <w:szCs w:val="22"/>
          <w:lang w:eastAsia="en-AU"/>
        </w:rPr>
        <w:t>Nidhi Karanam</w:t>
      </w:r>
      <w:r w:rsidR="00796AAC" w:rsidRPr="00CB7D61">
        <w:rPr>
          <w:rFonts w:eastAsia="Times New Roman" w:cstheme="minorHAnsi"/>
          <w:sz w:val="22"/>
          <w:szCs w:val="22"/>
          <w:lang w:eastAsia="en-AU"/>
        </w:rPr>
        <w:t xml:space="preserve"> for 2026.</w:t>
      </w:r>
      <w:r w:rsidRPr="00CB7D61">
        <w:rPr>
          <w:rFonts w:eastAsia="Times New Roman" w:cstheme="minorHAnsi"/>
          <w:sz w:val="22"/>
          <w:szCs w:val="22"/>
          <w:lang w:eastAsia="en-AU"/>
        </w:rPr>
        <w:t xml:space="preserve"> The </w:t>
      </w:r>
      <w:r w:rsidR="00CB7D61">
        <w:rPr>
          <w:rFonts w:eastAsia="Times New Roman" w:cstheme="minorHAnsi"/>
          <w:sz w:val="22"/>
          <w:szCs w:val="22"/>
          <w:lang w:eastAsia="en-AU"/>
        </w:rPr>
        <w:t xml:space="preserve">current </w:t>
      </w:r>
      <w:r w:rsidRPr="00CB7D61">
        <w:rPr>
          <w:rFonts w:eastAsia="Times New Roman" w:cstheme="minorHAnsi"/>
          <w:sz w:val="22"/>
          <w:szCs w:val="22"/>
          <w:lang w:eastAsia="en-AU"/>
        </w:rPr>
        <w:t>reference group leads are Bec Malhotra for the RRRG and Jo Telfer for the NTxRG.</w:t>
      </w:r>
    </w:p>
    <w:p w14:paraId="21DC8D28" w14:textId="21322A70" w:rsidR="00893D3A" w:rsidRPr="00CB7D61" w:rsidRDefault="00893D3A" w:rsidP="00893D3A">
      <w:pPr>
        <w:spacing w:after="160" w:line="240" w:lineRule="auto"/>
        <w:rPr>
          <w:rFonts w:eastAsia="Times New Roman" w:cstheme="minorHAnsi"/>
          <w:sz w:val="22"/>
          <w:szCs w:val="22"/>
          <w:lang w:eastAsia="en-AU"/>
        </w:rPr>
      </w:pPr>
      <w:r w:rsidRPr="00CB7D61">
        <w:rPr>
          <w:rFonts w:eastAsia="Times New Roman" w:cstheme="minorHAnsi"/>
          <w:sz w:val="22"/>
          <w:szCs w:val="22"/>
          <w:lang w:eastAsia="en-AU"/>
        </w:rPr>
        <w:t xml:space="preserve">Simon acknowledged in the CAP </w:t>
      </w:r>
      <w:r w:rsidR="00796AAC" w:rsidRPr="00CB7D61">
        <w:rPr>
          <w:rFonts w:eastAsia="Times New Roman" w:cstheme="minorHAnsi"/>
          <w:sz w:val="22"/>
          <w:szCs w:val="22"/>
          <w:lang w:eastAsia="en-AU"/>
        </w:rPr>
        <w:t>A</w:t>
      </w:r>
      <w:r w:rsidRPr="00CB7D61">
        <w:rPr>
          <w:rFonts w:eastAsia="Times New Roman" w:cstheme="minorHAnsi"/>
          <w:sz w:val="22"/>
          <w:szCs w:val="22"/>
          <w:lang w:eastAsia="en-AU"/>
        </w:rPr>
        <w:t xml:space="preserve">nnual </w:t>
      </w:r>
      <w:r w:rsidR="00796AAC" w:rsidRPr="00CB7D61">
        <w:rPr>
          <w:rFonts w:eastAsia="Times New Roman" w:cstheme="minorHAnsi"/>
          <w:sz w:val="22"/>
          <w:szCs w:val="22"/>
          <w:lang w:eastAsia="en-AU"/>
        </w:rPr>
        <w:t>R</w:t>
      </w:r>
      <w:r w:rsidRPr="00CB7D61">
        <w:rPr>
          <w:rFonts w:eastAsia="Times New Roman" w:cstheme="minorHAnsi"/>
          <w:sz w:val="22"/>
          <w:szCs w:val="22"/>
          <w:lang w:eastAsia="en-AU"/>
        </w:rPr>
        <w:t>eport the need for increased administrative support and more strategic engagement from ElectraNet to ensure the right resources are in place.</w:t>
      </w:r>
    </w:p>
    <w:p w14:paraId="53770A2B" w14:textId="382E7056" w:rsidR="000232D9" w:rsidRPr="00CB7D61" w:rsidRDefault="000232D9" w:rsidP="000232D9">
      <w:pPr>
        <w:spacing w:after="160" w:line="240" w:lineRule="auto"/>
        <w:rPr>
          <w:rFonts w:cstheme="minorHAnsi"/>
          <w:sz w:val="22"/>
          <w:szCs w:val="22"/>
        </w:rPr>
      </w:pPr>
      <w:r w:rsidRPr="00CB7D61">
        <w:rPr>
          <w:rFonts w:cstheme="minorHAnsi"/>
          <w:sz w:val="22"/>
          <w:szCs w:val="22"/>
        </w:rPr>
        <w:t>Simon</w:t>
      </w:r>
      <w:r w:rsidRPr="00CB7D61">
        <w:rPr>
          <w:rFonts w:cstheme="minorHAnsi"/>
          <w:b/>
          <w:bCs/>
          <w:sz w:val="22"/>
          <w:szCs w:val="22"/>
        </w:rPr>
        <w:t xml:space="preserve"> </w:t>
      </w:r>
      <w:r w:rsidRPr="00CB7D61">
        <w:rPr>
          <w:rFonts w:cstheme="minorHAnsi"/>
          <w:sz w:val="22"/>
          <w:szCs w:val="22"/>
        </w:rPr>
        <w:t xml:space="preserve">thanked the CAP for </w:t>
      </w:r>
      <w:r w:rsidR="00CB7D61">
        <w:rPr>
          <w:rFonts w:cstheme="minorHAnsi"/>
          <w:sz w:val="22"/>
          <w:szCs w:val="22"/>
        </w:rPr>
        <w:t>its</w:t>
      </w:r>
      <w:r w:rsidRPr="00CB7D61">
        <w:rPr>
          <w:rFonts w:cstheme="minorHAnsi"/>
          <w:sz w:val="22"/>
          <w:szCs w:val="22"/>
        </w:rPr>
        <w:t xml:space="preserve"> annual report, acknowledging the significant effort involved in preparing the comprehensive summary and survey responses, as well as the slide presentation to the </w:t>
      </w:r>
      <w:r w:rsidR="00CB7D61">
        <w:rPr>
          <w:rFonts w:cstheme="minorHAnsi"/>
          <w:sz w:val="22"/>
          <w:szCs w:val="22"/>
        </w:rPr>
        <w:t>B</w:t>
      </w:r>
      <w:r w:rsidRPr="00CB7D61">
        <w:rPr>
          <w:rFonts w:cstheme="minorHAnsi"/>
          <w:sz w:val="22"/>
          <w:szCs w:val="22"/>
        </w:rPr>
        <w:t xml:space="preserve">oard. While acknowledging that </w:t>
      </w:r>
      <w:r w:rsidR="00CB7D61">
        <w:rPr>
          <w:rFonts w:cstheme="minorHAnsi"/>
          <w:sz w:val="22"/>
          <w:szCs w:val="22"/>
        </w:rPr>
        <w:t>the CAP is operating well</w:t>
      </w:r>
      <w:r w:rsidRPr="00CB7D61">
        <w:rPr>
          <w:rFonts w:cstheme="minorHAnsi"/>
          <w:sz w:val="22"/>
          <w:szCs w:val="22"/>
        </w:rPr>
        <w:t>, he noted there is still room to further improve.</w:t>
      </w:r>
    </w:p>
    <w:p w14:paraId="0CDBD886" w14:textId="1EA71799" w:rsidR="005933D7" w:rsidRPr="00DC4260" w:rsidRDefault="004221C1" w:rsidP="000232D9">
      <w:pPr>
        <w:pStyle w:val="Heading2"/>
        <w:numPr>
          <w:ilvl w:val="0"/>
          <w:numId w:val="41"/>
        </w:numPr>
        <w:rPr>
          <w:rFonts w:asciiTheme="minorHAnsi" w:hAnsiTheme="minorHAnsi" w:cstheme="minorHAnsi"/>
          <w:b/>
          <w:bCs/>
        </w:rPr>
      </w:pPr>
      <w:r w:rsidRPr="00DC4260">
        <w:rPr>
          <w:rFonts w:asciiTheme="minorHAnsi" w:hAnsiTheme="minorHAnsi" w:cstheme="minorHAnsi"/>
          <w:b/>
          <w:bCs/>
        </w:rPr>
        <w:lastRenderedPageBreak/>
        <w:t>CAP Hot Topics</w:t>
      </w:r>
    </w:p>
    <w:p w14:paraId="385A948D" w14:textId="6B56B30B" w:rsidR="0067199E" w:rsidRPr="00CB7D61" w:rsidRDefault="0067199E" w:rsidP="0067199E">
      <w:pPr>
        <w:adjustRightInd/>
        <w:snapToGrid/>
        <w:spacing w:before="0" w:after="0" w:line="300" w:lineRule="atLeast"/>
        <w:rPr>
          <w:rFonts w:eastAsia="Times New Roman" w:cstheme="minorHAnsi"/>
          <w:sz w:val="22"/>
          <w:szCs w:val="22"/>
          <w:lang w:eastAsia="en-AU"/>
        </w:rPr>
      </w:pPr>
      <w:r w:rsidRPr="00CB7D61">
        <w:rPr>
          <w:rFonts w:eastAsia="Times New Roman" w:cstheme="minorHAnsi"/>
          <w:b/>
          <w:bCs/>
          <w:sz w:val="22"/>
          <w:szCs w:val="22"/>
          <w:lang w:eastAsia="en-AU"/>
        </w:rPr>
        <w:t>Simon Maddocks</w:t>
      </w:r>
      <w:r w:rsidR="00B742DB">
        <w:rPr>
          <w:rFonts w:eastAsia="Times New Roman" w:cstheme="minorHAnsi"/>
          <w:b/>
          <w:bCs/>
          <w:sz w:val="22"/>
          <w:szCs w:val="22"/>
          <w:lang w:eastAsia="en-AU"/>
        </w:rPr>
        <w:t xml:space="preserve"> and Greg McCarron</w:t>
      </w:r>
      <w:r w:rsidRPr="00CB7D61">
        <w:rPr>
          <w:rFonts w:eastAsia="Times New Roman" w:cstheme="minorHAnsi"/>
          <w:sz w:val="22"/>
          <w:szCs w:val="22"/>
          <w:lang w:eastAsia="en-AU"/>
        </w:rPr>
        <w:t xml:space="preserve"> shared information </w:t>
      </w:r>
      <w:r w:rsidR="00CB7D61">
        <w:rPr>
          <w:rFonts w:eastAsia="Times New Roman" w:cstheme="minorHAnsi"/>
          <w:sz w:val="22"/>
          <w:szCs w:val="22"/>
          <w:lang w:eastAsia="en-AU"/>
        </w:rPr>
        <w:t xml:space="preserve">prepared by </w:t>
      </w:r>
      <w:r w:rsidRPr="00CB7D61">
        <w:rPr>
          <w:rFonts w:eastAsia="Times New Roman" w:cstheme="minorHAnsi"/>
          <w:sz w:val="22"/>
          <w:szCs w:val="22"/>
          <w:lang w:eastAsia="en-AU"/>
        </w:rPr>
        <w:t>the Energy Charter</w:t>
      </w:r>
      <w:r w:rsidR="002B113A">
        <w:rPr>
          <w:rFonts w:eastAsia="Times New Roman" w:cstheme="minorHAnsi"/>
          <w:sz w:val="22"/>
          <w:szCs w:val="22"/>
          <w:lang w:eastAsia="en-AU"/>
        </w:rPr>
        <w:t xml:space="preserve"> to </w:t>
      </w:r>
      <w:r w:rsidRPr="00CB7D61">
        <w:rPr>
          <w:rFonts w:eastAsia="Times New Roman" w:cstheme="minorHAnsi"/>
          <w:sz w:val="22"/>
          <w:szCs w:val="22"/>
          <w:lang w:eastAsia="en-AU"/>
        </w:rPr>
        <w:t>provide an overview of transmission landholder easement payments</w:t>
      </w:r>
      <w:r w:rsidR="002B113A">
        <w:rPr>
          <w:rFonts w:eastAsia="Times New Roman" w:cstheme="minorHAnsi"/>
          <w:sz w:val="22"/>
          <w:szCs w:val="22"/>
          <w:lang w:eastAsia="en-AU"/>
        </w:rPr>
        <w:t xml:space="preserve"> across the States</w:t>
      </w:r>
      <w:r w:rsidRPr="00CB7D61">
        <w:rPr>
          <w:rFonts w:eastAsia="Times New Roman" w:cstheme="minorHAnsi"/>
          <w:sz w:val="22"/>
          <w:szCs w:val="22"/>
          <w:lang w:eastAsia="en-AU"/>
        </w:rPr>
        <w:t xml:space="preserve">. He noted that this is primarily a government issue rather than an ElectraNet concern, highlighting how South Australia </w:t>
      </w:r>
      <w:r w:rsidR="00576C1A" w:rsidRPr="00CB7D61">
        <w:rPr>
          <w:rFonts w:eastAsia="Times New Roman" w:cstheme="minorHAnsi"/>
          <w:sz w:val="22"/>
          <w:szCs w:val="22"/>
          <w:lang w:eastAsia="en-AU"/>
        </w:rPr>
        <w:t>lags</w:t>
      </w:r>
      <w:r w:rsidRPr="00CB7D61">
        <w:rPr>
          <w:rFonts w:eastAsia="Times New Roman" w:cstheme="minorHAnsi"/>
          <w:sz w:val="22"/>
          <w:szCs w:val="22"/>
          <w:lang w:eastAsia="en-AU"/>
        </w:rPr>
        <w:t xml:space="preserve"> </w:t>
      </w:r>
      <w:r w:rsidR="00576C1A" w:rsidRPr="00CB7D61">
        <w:rPr>
          <w:rFonts w:eastAsia="Times New Roman" w:cstheme="minorHAnsi"/>
          <w:sz w:val="22"/>
          <w:szCs w:val="22"/>
          <w:lang w:eastAsia="en-AU"/>
        </w:rPr>
        <w:t xml:space="preserve">behind </w:t>
      </w:r>
      <w:r w:rsidRPr="00CB7D61">
        <w:rPr>
          <w:rFonts w:eastAsia="Times New Roman" w:cstheme="minorHAnsi"/>
          <w:sz w:val="22"/>
          <w:szCs w:val="22"/>
          <w:lang w:eastAsia="en-AU"/>
        </w:rPr>
        <w:t xml:space="preserve">other states in recognising the impact of transmission corridors on productive land. The discussion raised questions about who bears the cost of easements, how these costs are funded (typically through customer bills), and the need for greater transparency and community engagement. </w:t>
      </w:r>
      <w:r w:rsidR="002B113A">
        <w:rPr>
          <w:rFonts w:eastAsia="Times New Roman" w:cstheme="minorHAnsi"/>
          <w:sz w:val="22"/>
          <w:szCs w:val="22"/>
          <w:lang w:eastAsia="en-AU"/>
        </w:rPr>
        <w:t xml:space="preserve">Simon </w:t>
      </w:r>
      <w:r w:rsidRPr="00CB7D61">
        <w:rPr>
          <w:rFonts w:eastAsia="Times New Roman" w:cstheme="minorHAnsi"/>
          <w:sz w:val="22"/>
          <w:szCs w:val="22"/>
          <w:lang w:eastAsia="en-AU"/>
        </w:rPr>
        <w:t>emphasised that building social licence is important, and that approaches</w:t>
      </w:r>
      <w:r w:rsidR="00796AAC" w:rsidRPr="00CB7D61">
        <w:rPr>
          <w:rFonts w:eastAsia="Times New Roman" w:cstheme="minorHAnsi"/>
          <w:sz w:val="22"/>
          <w:szCs w:val="22"/>
          <w:lang w:eastAsia="en-AU"/>
        </w:rPr>
        <w:t xml:space="preserve"> </w:t>
      </w:r>
      <w:r w:rsidRPr="00CB7D61">
        <w:rPr>
          <w:rFonts w:eastAsia="Times New Roman" w:cstheme="minorHAnsi"/>
          <w:sz w:val="22"/>
          <w:szCs w:val="22"/>
          <w:lang w:eastAsia="en-AU"/>
        </w:rPr>
        <w:t>such as compulsory acquisition</w:t>
      </w:r>
      <w:r w:rsidR="00402AFC" w:rsidRPr="00CB7D61">
        <w:rPr>
          <w:rFonts w:eastAsia="Times New Roman" w:cstheme="minorHAnsi"/>
          <w:sz w:val="22"/>
          <w:szCs w:val="22"/>
          <w:lang w:eastAsia="en-AU"/>
        </w:rPr>
        <w:t xml:space="preserve"> </w:t>
      </w:r>
      <w:r w:rsidRPr="00CB7D61">
        <w:rPr>
          <w:rFonts w:eastAsia="Times New Roman" w:cstheme="minorHAnsi"/>
          <w:sz w:val="22"/>
          <w:szCs w:val="22"/>
          <w:lang w:eastAsia="en-AU"/>
        </w:rPr>
        <w:t>may not serve the best interests of regional communities. This topic will be further discussed as part of the NTx agenda, with a focus on regulatory obligations and funding mechanisms.</w:t>
      </w:r>
    </w:p>
    <w:p w14:paraId="792A09C8" w14:textId="57E2EE0A" w:rsidR="00E31CD2" w:rsidRPr="00CB7D61" w:rsidRDefault="00E31CD2" w:rsidP="00E31CD2">
      <w:pPr>
        <w:spacing w:after="160" w:line="240" w:lineRule="auto"/>
        <w:rPr>
          <w:rFonts w:cstheme="minorHAnsi"/>
          <w:sz w:val="22"/>
          <w:szCs w:val="22"/>
        </w:rPr>
      </w:pPr>
      <w:r w:rsidRPr="00CB7D61">
        <w:rPr>
          <w:rFonts w:cstheme="minorHAnsi"/>
          <w:sz w:val="22"/>
          <w:szCs w:val="22"/>
        </w:rPr>
        <w:t xml:space="preserve">Greg McCarron received a question from a community member regarding ElectraNet’s approach to charging customers based on agreed </w:t>
      </w:r>
      <w:r w:rsidR="002B113A">
        <w:rPr>
          <w:rFonts w:cstheme="minorHAnsi"/>
          <w:sz w:val="22"/>
          <w:szCs w:val="22"/>
        </w:rPr>
        <w:t xml:space="preserve">maximum </w:t>
      </w:r>
      <w:r w:rsidRPr="00CB7D61">
        <w:rPr>
          <w:rFonts w:cstheme="minorHAnsi"/>
          <w:sz w:val="22"/>
          <w:szCs w:val="22"/>
        </w:rPr>
        <w:t xml:space="preserve">demand. </w:t>
      </w:r>
    </w:p>
    <w:p w14:paraId="7ACC7CB9" w14:textId="7BB6682D" w:rsidR="00E31CD2" w:rsidRPr="00CB7D61" w:rsidRDefault="00576C1A" w:rsidP="009F3C78">
      <w:pPr>
        <w:spacing w:after="160" w:line="240" w:lineRule="auto"/>
        <w:rPr>
          <w:rFonts w:cstheme="minorHAnsi"/>
          <w:b/>
          <w:bCs/>
          <w:sz w:val="22"/>
          <w:szCs w:val="22"/>
        </w:rPr>
      </w:pPr>
      <w:r w:rsidRPr="00CB7D61">
        <w:rPr>
          <w:rFonts w:cstheme="minorHAnsi"/>
          <w:b/>
          <w:bCs/>
          <w:sz w:val="22"/>
          <w:szCs w:val="22"/>
        </w:rPr>
        <w:t>Action:</w:t>
      </w:r>
      <w:r w:rsidR="00E31CD2" w:rsidRPr="00CB7D61">
        <w:rPr>
          <w:rFonts w:cstheme="minorHAnsi"/>
          <w:sz w:val="22"/>
          <w:szCs w:val="22"/>
        </w:rPr>
        <w:t xml:space="preserve"> </w:t>
      </w:r>
      <w:r w:rsidR="00E31CD2" w:rsidRPr="00CB7D61">
        <w:rPr>
          <w:rFonts w:cstheme="minorHAnsi"/>
          <w:b/>
          <w:bCs/>
          <w:sz w:val="22"/>
          <w:szCs w:val="22"/>
        </w:rPr>
        <w:t xml:space="preserve">Greg McCarron to email </w:t>
      </w:r>
      <w:r w:rsidR="002B113A">
        <w:rPr>
          <w:rFonts w:cstheme="minorHAnsi"/>
          <w:b/>
          <w:bCs/>
          <w:sz w:val="22"/>
          <w:szCs w:val="22"/>
        </w:rPr>
        <w:t xml:space="preserve">ElectraNet </w:t>
      </w:r>
      <w:r w:rsidR="00E31CD2" w:rsidRPr="00CB7D61">
        <w:rPr>
          <w:rFonts w:cstheme="minorHAnsi"/>
          <w:b/>
          <w:bCs/>
          <w:sz w:val="22"/>
          <w:szCs w:val="22"/>
        </w:rPr>
        <w:t xml:space="preserve">the </w:t>
      </w:r>
      <w:r w:rsidR="002B113A">
        <w:rPr>
          <w:rFonts w:cstheme="minorHAnsi"/>
          <w:b/>
          <w:bCs/>
          <w:sz w:val="22"/>
          <w:szCs w:val="22"/>
        </w:rPr>
        <w:t xml:space="preserve">transmission charging </w:t>
      </w:r>
      <w:r w:rsidR="00E31CD2" w:rsidRPr="00CB7D61">
        <w:rPr>
          <w:rFonts w:cstheme="minorHAnsi"/>
          <w:b/>
          <w:bCs/>
          <w:sz w:val="22"/>
          <w:szCs w:val="22"/>
        </w:rPr>
        <w:t xml:space="preserve">question </w:t>
      </w:r>
      <w:r w:rsidR="002B113A">
        <w:rPr>
          <w:rFonts w:cstheme="minorHAnsi"/>
          <w:b/>
          <w:bCs/>
          <w:sz w:val="22"/>
          <w:szCs w:val="22"/>
        </w:rPr>
        <w:t xml:space="preserve">received from a community </w:t>
      </w:r>
      <w:r w:rsidR="007473B8">
        <w:rPr>
          <w:rFonts w:cstheme="minorHAnsi"/>
          <w:b/>
          <w:bCs/>
          <w:sz w:val="22"/>
          <w:szCs w:val="22"/>
        </w:rPr>
        <w:t xml:space="preserve">member for </w:t>
      </w:r>
      <w:r w:rsidR="002B113A">
        <w:rPr>
          <w:rFonts w:cstheme="minorHAnsi"/>
          <w:b/>
          <w:bCs/>
          <w:sz w:val="22"/>
          <w:szCs w:val="22"/>
        </w:rPr>
        <w:t>response</w:t>
      </w:r>
      <w:r w:rsidR="007473B8">
        <w:rPr>
          <w:rFonts w:cstheme="minorHAnsi"/>
          <w:b/>
          <w:bCs/>
          <w:sz w:val="22"/>
          <w:szCs w:val="22"/>
        </w:rPr>
        <w:t>.</w:t>
      </w:r>
    </w:p>
    <w:p w14:paraId="71E88D7D" w14:textId="4F3D562D" w:rsidR="009F3C78" w:rsidRPr="00CB7D61" w:rsidRDefault="009F3C78" w:rsidP="009F3C78">
      <w:pPr>
        <w:spacing w:after="160" w:line="240" w:lineRule="auto"/>
        <w:rPr>
          <w:rFonts w:cstheme="minorHAnsi"/>
          <w:sz w:val="22"/>
          <w:szCs w:val="22"/>
        </w:rPr>
      </w:pPr>
      <w:r w:rsidRPr="00CB7D61">
        <w:rPr>
          <w:rFonts w:cstheme="minorHAnsi"/>
          <w:b/>
          <w:bCs/>
          <w:sz w:val="22"/>
          <w:szCs w:val="22"/>
        </w:rPr>
        <w:t>Kelly-Anne</w:t>
      </w:r>
      <w:r w:rsidRPr="00CB7D61">
        <w:rPr>
          <w:rFonts w:cstheme="minorHAnsi"/>
          <w:sz w:val="22"/>
          <w:szCs w:val="22"/>
        </w:rPr>
        <w:t xml:space="preserve"> raised concerns about cross-border issues, highlighting confusion in the </w:t>
      </w:r>
      <w:r w:rsidR="002B113A">
        <w:rPr>
          <w:rFonts w:cstheme="minorHAnsi"/>
          <w:sz w:val="22"/>
          <w:szCs w:val="22"/>
        </w:rPr>
        <w:t xml:space="preserve">community </w:t>
      </w:r>
      <w:r w:rsidRPr="00CB7D61">
        <w:rPr>
          <w:rFonts w:cstheme="minorHAnsi"/>
          <w:sz w:val="22"/>
          <w:szCs w:val="22"/>
        </w:rPr>
        <w:t>due to multiple projects and activities involving different transmission providers, such as TransGrid’s</w:t>
      </w:r>
      <w:r w:rsidR="00402AFC" w:rsidRPr="00CB7D61">
        <w:rPr>
          <w:rFonts w:cstheme="minorHAnsi"/>
          <w:sz w:val="22"/>
          <w:szCs w:val="22"/>
        </w:rPr>
        <w:t xml:space="preserve"> PEC,</w:t>
      </w:r>
      <w:r w:rsidRPr="00CB7D61">
        <w:rPr>
          <w:rFonts w:cstheme="minorHAnsi"/>
          <w:sz w:val="22"/>
          <w:szCs w:val="22"/>
        </w:rPr>
        <w:t xml:space="preserve"> Murraylink, and developments in the Limestone Coast renewable energy zone. She noted that some enquiries received are related to neighbouring states rather than SA, and that greater clarity around project jurisdictions, responsibilities, and timelines would benefit communities. </w:t>
      </w:r>
    </w:p>
    <w:p w14:paraId="1679E5C4" w14:textId="77777777" w:rsidR="00402AFC" w:rsidRPr="00CB7D61" w:rsidRDefault="00402AFC" w:rsidP="00402AFC">
      <w:pPr>
        <w:spacing w:after="160" w:line="240" w:lineRule="auto"/>
        <w:rPr>
          <w:rFonts w:cstheme="minorHAnsi"/>
          <w:sz w:val="22"/>
          <w:szCs w:val="22"/>
        </w:rPr>
      </w:pPr>
      <w:r w:rsidRPr="00CB7D61">
        <w:rPr>
          <w:rFonts w:cstheme="minorHAnsi"/>
          <w:b/>
          <w:bCs/>
          <w:sz w:val="22"/>
          <w:szCs w:val="22"/>
        </w:rPr>
        <w:t xml:space="preserve">Craig Wilkins </w:t>
      </w:r>
      <w:r w:rsidRPr="00CB7D61">
        <w:rPr>
          <w:rFonts w:cstheme="minorHAnsi"/>
          <w:sz w:val="22"/>
          <w:szCs w:val="22"/>
        </w:rPr>
        <w:t>noted that although South Australia was not selected to host COP31, there are still valuable opportunities to share the state’s energy transition story with the world. He emphasised that ElectraNet can play a significant role in showcasing lessons learned and contributing to the global energy transition.</w:t>
      </w:r>
    </w:p>
    <w:p w14:paraId="6B4DA42D" w14:textId="3810EB3E" w:rsidR="0002541B" w:rsidRPr="00CB7D61" w:rsidRDefault="00402AFC" w:rsidP="0002541B">
      <w:pPr>
        <w:spacing w:after="160" w:line="240" w:lineRule="auto"/>
        <w:rPr>
          <w:rFonts w:cstheme="minorHAnsi"/>
          <w:sz w:val="22"/>
          <w:szCs w:val="22"/>
        </w:rPr>
      </w:pPr>
      <w:r w:rsidRPr="00CB7D61">
        <w:rPr>
          <w:rFonts w:cstheme="minorHAnsi"/>
          <w:b/>
          <w:bCs/>
          <w:sz w:val="22"/>
          <w:szCs w:val="22"/>
        </w:rPr>
        <w:t xml:space="preserve">Cathi </w:t>
      </w:r>
      <w:r w:rsidR="00575169" w:rsidRPr="00CB7D61">
        <w:rPr>
          <w:rFonts w:cstheme="minorHAnsi"/>
          <w:b/>
          <w:bCs/>
          <w:sz w:val="22"/>
          <w:szCs w:val="22"/>
        </w:rPr>
        <w:t>Buttfield</w:t>
      </w:r>
      <w:r w:rsidRPr="00CB7D61">
        <w:rPr>
          <w:rFonts w:cstheme="minorHAnsi"/>
          <w:sz w:val="22"/>
          <w:szCs w:val="22"/>
        </w:rPr>
        <w:t xml:space="preserve"> </w:t>
      </w:r>
      <w:r w:rsidR="0002541B" w:rsidRPr="00CB7D61">
        <w:rPr>
          <w:rFonts w:cstheme="minorHAnsi"/>
          <w:sz w:val="22"/>
          <w:szCs w:val="22"/>
        </w:rPr>
        <w:t>a</w:t>
      </w:r>
      <w:r w:rsidR="0002541B" w:rsidRPr="00CB7D61">
        <w:rPr>
          <w:rFonts w:eastAsia="Times New Roman" w:cstheme="minorHAnsi"/>
          <w:sz w:val="22"/>
          <w:szCs w:val="22"/>
          <w:lang w:eastAsia="en-AU"/>
        </w:rPr>
        <w:t>ttended</w:t>
      </w:r>
      <w:r w:rsidR="0002541B" w:rsidRPr="00CB7D61">
        <w:rPr>
          <w:rFonts w:cstheme="minorHAnsi"/>
          <w:sz w:val="22"/>
          <w:szCs w:val="22"/>
        </w:rPr>
        <w:t xml:space="preserve"> ESCOSA</w:t>
      </w:r>
      <w:r w:rsidR="002B113A">
        <w:rPr>
          <w:rFonts w:cstheme="minorHAnsi"/>
          <w:sz w:val="22"/>
          <w:szCs w:val="22"/>
        </w:rPr>
        <w:t>’s</w:t>
      </w:r>
      <w:r w:rsidR="0002541B" w:rsidRPr="00CB7D61">
        <w:rPr>
          <w:rFonts w:cstheme="minorHAnsi"/>
          <w:sz w:val="22"/>
          <w:szCs w:val="22"/>
        </w:rPr>
        <w:t xml:space="preserve"> CAP meeting</w:t>
      </w:r>
      <w:r w:rsidR="00091F7F">
        <w:rPr>
          <w:rFonts w:cstheme="minorHAnsi"/>
          <w:sz w:val="22"/>
          <w:szCs w:val="22"/>
        </w:rPr>
        <w:t xml:space="preserve">. ESCOSA has been appointed as one of the regulatory bodies administering the </w:t>
      </w:r>
      <w:r w:rsidR="0002541B" w:rsidRPr="00CB7D61">
        <w:rPr>
          <w:rFonts w:cstheme="minorHAnsi"/>
          <w:sz w:val="22"/>
          <w:szCs w:val="22"/>
        </w:rPr>
        <w:t>FERM</w:t>
      </w:r>
      <w:r w:rsidR="00091F7F">
        <w:rPr>
          <w:rFonts w:cstheme="minorHAnsi"/>
          <w:sz w:val="22"/>
          <w:szCs w:val="22"/>
        </w:rPr>
        <w:t xml:space="preserve">, together with </w:t>
      </w:r>
      <w:r w:rsidR="0002541B" w:rsidRPr="00CB7D61">
        <w:rPr>
          <w:rFonts w:cstheme="minorHAnsi"/>
          <w:sz w:val="22"/>
          <w:szCs w:val="22"/>
        </w:rPr>
        <w:t xml:space="preserve">the AER. </w:t>
      </w:r>
      <w:r w:rsidR="00091F7F">
        <w:rPr>
          <w:rFonts w:cstheme="minorHAnsi"/>
          <w:sz w:val="22"/>
          <w:szCs w:val="22"/>
        </w:rPr>
        <w:t xml:space="preserve">It was noted that generators are required to provide a notice of intent on their future availability, but the level of commitment was relatively low. </w:t>
      </w:r>
    </w:p>
    <w:p w14:paraId="4C0F3537" w14:textId="0A66DBD3" w:rsidR="008A5FEC" w:rsidRPr="00CB7D61" w:rsidRDefault="008A5FEC" w:rsidP="008A5FEC">
      <w:pPr>
        <w:spacing w:after="160" w:line="240" w:lineRule="auto"/>
        <w:rPr>
          <w:rFonts w:cstheme="minorHAnsi"/>
          <w:sz w:val="22"/>
          <w:szCs w:val="22"/>
        </w:rPr>
      </w:pPr>
      <w:r w:rsidRPr="00CB7D61">
        <w:rPr>
          <w:rStyle w:val="Heading3Char"/>
          <w:sz w:val="22"/>
          <w:szCs w:val="22"/>
        </w:rPr>
        <w:t xml:space="preserve">Membership </w:t>
      </w:r>
      <w:r w:rsidRPr="00CB7D61">
        <w:rPr>
          <w:rFonts w:cstheme="minorHAnsi"/>
          <w:sz w:val="22"/>
          <w:szCs w:val="22"/>
        </w:rPr>
        <w:br/>
      </w:r>
      <w:r w:rsidRPr="00CB7D61">
        <w:rPr>
          <w:rFonts w:cstheme="minorHAnsi"/>
          <w:b/>
          <w:bCs/>
          <w:sz w:val="22"/>
          <w:szCs w:val="22"/>
        </w:rPr>
        <w:t>Leanne Muffet</w:t>
      </w:r>
      <w:r w:rsidRPr="00CB7D61">
        <w:rPr>
          <w:rFonts w:cstheme="minorHAnsi"/>
          <w:sz w:val="22"/>
          <w:szCs w:val="22"/>
        </w:rPr>
        <w:t xml:space="preserve"> advised that an individual had approached </w:t>
      </w:r>
      <w:r w:rsidRPr="00CB7D61">
        <w:rPr>
          <w:rFonts w:cstheme="minorHAnsi"/>
          <w:b/>
          <w:bCs/>
          <w:sz w:val="22"/>
          <w:szCs w:val="22"/>
        </w:rPr>
        <w:t xml:space="preserve">Greg McCarron </w:t>
      </w:r>
      <w:r w:rsidRPr="00CB7D61">
        <w:rPr>
          <w:rFonts w:cstheme="minorHAnsi"/>
          <w:sz w:val="22"/>
          <w:szCs w:val="22"/>
        </w:rPr>
        <w:t xml:space="preserve">regarding membership </w:t>
      </w:r>
      <w:r w:rsidR="00091F7F">
        <w:rPr>
          <w:rFonts w:cstheme="minorHAnsi"/>
          <w:sz w:val="22"/>
          <w:szCs w:val="22"/>
        </w:rPr>
        <w:t xml:space="preserve">of </w:t>
      </w:r>
      <w:r w:rsidRPr="00CB7D61">
        <w:rPr>
          <w:rFonts w:cstheme="minorHAnsi"/>
          <w:sz w:val="22"/>
          <w:szCs w:val="22"/>
        </w:rPr>
        <w:t xml:space="preserve">the CAP. </w:t>
      </w:r>
      <w:r w:rsidR="00091F7F">
        <w:rPr>
          <w:rFonts w:cstheme="minorHAnsi"/>
          <w:sz w:val="22"/>
          <w:szCs w:val="22"/>
        </w:rPr>
        <w:t xml:space="preserve">ElectraNet noted that membership of the CAP </w:t>
      </w:r>
      <w:r w:rsidR="00091F7F" w:rsidRPr="00CB7D61">
        <w:rPr>
          <w:rFonts w:cstheme="minorHAnsi"/>
          <w:sz w:val="22"/>
          <w:szCs w:val="22"/>
        </w:rPr>
        <w:t xml:space="preserve">remains invitation-only, and future appointments would aim to address </w:t>
      </w:r>
      <w:r w:rsidR="00091F7F">
        <w:rPr>
          <w:rFonts w:cstheme="minorHAnsi"/>
          <w:sz w:val="22"/>
          <w:szCs w:val="22"/>
        </w:rPr>
        <w:t xml:space="preserve">any </w:t>
      </w:r>
      <w:r w:rsidR="00091F7F" w:rsidRPr="00CB7D61">
        <w:rPr>
          <w:rFonts w:cstheme="minorHAnsi"/>
          <w:sz w:val="22"/>
          <w:szCs w:val="22"/>
        </w:rPr>
        <w:t>gaps.</w:t>
      </w:r>
      <w:r w:rsidR="00091F7F">
        <w:rPr>
          <w:rFonts w:cstheme="minorHAnsi"/>
          <w:sz w:val="22"/>
          <w:szCs w:val="22"/>
        </w:rPr>
        <w:t xml:space="preserve"> </w:t>
      </w:r>
      <w:r w:rsidRPr="00CB7D61">
        <w:rPr>
          <w:rFonts w:cstheme="minorHAnsi"/>
          <w:sz w:val="22"/>
          <w:szCs w:val="22"/>
        </w:rPr>
        <w:t xml:space="preserve">CAP members noted the gap left by recent departures, particularly in representation from SACOME and the AI Group, which </w:t>
      </w:r>
      <w:r w:rsidR="00091F7F">
        <w:rPr>
          <w:rFonts w:cstheme="minorHAnsi"/>
          <w:sz w:val="22"/>
          <w:szCs w:val="22"/>
        </w:rPr>
        <w:t>together</w:t>
      </w:r>
      <w:r w:rsidRPr="00CB7D61">
        <w:rPr>
          <w:rFonts w:cstheme="minorHAnsi"/>
          <w:sz w:val="22"/>
          <w:szCs w:val="22"/>
        </w:rPr>
        <w:t xml:space="preserve"> provided insight into big business and mining impacts. </w:t>
      </w:r>
    </w:p>
    <w:p w14:paraId="6494A3C1" w14:textId="5EABB01C" w:rsidR="008A5FEC" w:rsidRPr="00CB7D61" w:rsidRDefault="008A5FEC" w:rsidP="008A5FEC">
      <w:pPr>
        <w:spacing w:after="160" w:line="240" w:lineRule="auto"/>
        <w:rPr>
          <w:rFonts w:cstheme="minorHAnsi"/>
          <w:b/>
          <w:bCs/>
          <w:sz w:val="22"/>
          <w:szCs w:val="22"/>
        </w:rPr>
      </w:pPr>
      <w:r w:rsidRPr="00CB7D61">
        <w:rPr>
          <w:rFonts w:cstheme="minorHAnsi"/>
          <w:b/>
          <w:bCs/>
          <w:sz w:val="22"/>
          <w:szCs w:val="22"/>
        </w:rPr>
        <w:t xml:space="preserve">Action: Leanne and Simon Appleby to </w:t>
      </w:r>
      <w:r w:rsidR="007473B8">
        <w:rPr>
          <w:rFonts w:cstheme="minorHAnsi"/>
          <w:b/>
          <w:bCs/>
          <w:sz w:val="22"/>
          <w:szCs w:val="22"/>
        </w:rPr>
        <w:t>consider</w:t>
      </w:r>
      <w:r w:rsidRPr="00CB7D61">
        <w:rPr>
          <w:rFonts w:cstheme="minorHAnsi"/>
          <w:b/>
          <w:bCs/>
          <w:sz w:val="22"/>
          <w:szCs w:val="22"/>
        </w:rPr>
        <w:t xml:space="preserve"> CAP membership</w:t>
      </w:r>
      <w:r w:rsidR="00001999">
        <w:rPr>
          <w:rFonts w:cstheme="minorHAnsi"/>
          <w:b/>
          <w:bCs/>
          <w:sz w:val="22"/>
          <w:szCs w:val="22"/>
        </w:rPr>
        <w:t xml:space="preserve"> and any gaps</w:t>
      </w:r>
      <w:r w:rsidRPr="00CB7D61">
        <w:rPr>
          <w:rFonts w:cstheme="minorHAnsi"/>
          <w:b/>
          <w:bCs/>
          <w:sz w:val="22"/>
          <w:szCs w:val="22"/>
        </w:rPr>
        <w:t>.</w:t>
      </w:r>
    </w:p>
    <w:p w14:paraId="25423145" w14:textId="25E22B14" w:rsidR="00575169" w:rsidRPr="00DC4260" w:rsidRDefault="008A5FEC" w:rsidP="00575169">
      <w:pPr>
        <w:pStyle w:val="Heading2"/>
        <w:numPr>
          <w:ilvl w:val="0"/>
          <w:numId w:val="41"/>
        </w:numPr>
        <w:ind w:left="340" w:hanging="340"/>
        <w:rPr>
          <w:rFonts w:asciiTheme="minorHAnsi" w:hAnsiTheme="minorHAnsi" w:cstheme="minorHAnsi"/>
          <w:b/>
          <w:bCs/>
        </w:rPr>
      </w:pPr>
      <w:r w:rsidRPr="00DC4260">
        <w:rPr>
          <w:rFonts w:asciiTheme="minorHAnsi" w:hAnsiTheme="minorHAnsi" w:cstheme="minorHAnsi"/>
          <w:b/>
          <w:bCs/>
        </w:rPr>
        <w:lastRenderedPageBreak/>
        <w:t>Demand Forecast Working Group</w:t>
      </w:r>
    </w:p>
    <w:p w14:paraId="11F9F6DF" w14:textId="51EFE555" w:rsidR="00C147E1" w:rsidRPr="00001999" w:rsidRDefault="00C147E1" w:rsidP="00C147E1">
      <w:pPr>
        <w:adjustRightInd/>
        <w:snapToGrid/>
        <w:spacing w:before="0" w:after="0" w:line="300" w:lineRule="atLeast"/>
        <w:rPr>
          <w:rFonts w:eastAsia="Times New Roman" w:cstheme="minorHAnsi"/>
          <w:sz w:val="22"/>
          <w:szCs w:val="22"/>
          <w:lang w:eastAsia="en-AU"/>
        </w:rPr>
      </w:pPr>
      <w:r w:rsidRPr="00001999">
        <w:rPr>
          <w:rFonts w:eastAsia="Times New Roman" w:cstheme="minorHAnsi"/>
          <w:b/>
          <w:bCs/>
          <w:sz w:val="22"/>
          <w:szCs w:val="22"/>
          <w:lang w:eastAsia="en-AU"/>
        </w:rPr>
        <w:t>Andrew Richards</w:t>
      </w:r>
      <w:r w:rsidRPr="00001999">
        <w:rPr>
          <w:rFonts w:eastAsia="Times New Roman" w:cstheme="minorHAnsi"/>
          <w:sz w:val="22"/>
          <w:szCs w:val="22"/>
          <w:lang w:eastAsia="en-AU"/>
        </w:rPr>
        <w:t xml:space="preserve"> presented an update on the Demand Forecast Working Group, which was established as a sub-group including Leanne Muffet</w:t>
      </w:r>
      <w:r w:rsidR="00001999">
        <w:rPr>
          <w:rFonts w:eastAsia="Times New Roman" w:cstheme="minorHAnsi"/>
          <w:sz w:val="22"/>
          <w:szCs w:val="22"/>
          <w:lang w:eastAsia="en-AU"/>
        </w:rPr>
        <w:t xml:space="preserve">, Simon Maddocks </w:t>
      </w:r>
      <w:r w:rsidRPr="00001999">
        <w:rPr>
          <w:rFonts w:eastAsia="Times New Roman" w:cstheme="minorHAnsi"/>
          <w:sz w:val="22"/>
          <w:szCs w:val="22"/>
          <w:lang w:eastAsia="en-AU"/>
        </w:rPr>
        <w:t>and Mark Henley. The group’s objective is to commission an independent review of ElectraNet’s demand forecasts not to determine an exact number, but to assess whether the underlying assumptions are reasonable. EnergyQuest has been engaged for this review, with ElectraNet providing funding but remaining at arm’s length from the process. A final report is expected early 2026. Andrew explained that demand forecasting is challenging due to the lack of underpinning legislation</w:t>
      </w:r>
      <w:r w:rsidR="00001999">
        <w:rPr>
          <w:rFonts w:eastAsia="Times New Roman" w:cstheme="minorHAnsi"/>
          <w:sz w:val="22"/>
          <w:szCs w:val="22"/>
          <w:lang w:eastAsia="en-AU"/>
        </w:rPr>
        <w:t xml:space="preserve"> driving policy in South Australia</w:t>
      </w:r>
      <w:r w:rsidRPr="00001999">
        <w:rPr>
          <w:rFonts w:eastAsia="Times New Roman" w:cstheme="minorHAnsi"/>
          <w:sz w:val="22"/>
          <w:szCs w:val="22"/>
          <w:lang w:eastAsia="en-AU"/>
        </w:rPr>
        <w:t xml:space="preserve">, unlike </w:t>
      </w:r>
      <w:r w:rsidR="00001999">
        <w:rPr>
          <w:rFonts w:eastAsia="Times New Roman" w:cstheme="minorHAnsi"/>
          <w:sz w:val="22"/>
          <w:szCs w:val="22"/>
          <w:lang w:eastAsia="en-AU"/>
        </w:rPr>
        <w:t>other States</w:t>
      </w:r>
      <w:r w:rsidRPr="00001999">
        <w:rPr>
          <w:rFonts w:eastAsia="Times New Roman" w:cstheme="minorHAnsi"/>
          <w:sz w:val="22"/>
          <w:szCs w:val="22"/>
          <w:lang w:eastAsia="en-AU"/>
        </w:rPr>
        <w:t xml:space="preserve">. The process is designed to give CAP confidence </w:t>
      </w:r>
      <w:r w:rsidR="00001999">
        <w:rPr>
          <w:rFonts w:eastAsia="Times New Roman" w:cstheme="minorHAnsi"/>
          <w:sz w:val="22"/>
          <w:szCs w:val="22"/>
          <w:lang w:eastAsia="en-AU"/>
        </w:rPr>
        <w:t xml:space="preserve">through </w:t>
      </w:r>
      <w:r w:rsidRPr="00001999">
        <w:rPr>
          <w:rFonts w:eastAsia="Times New Roman" w:cstheme="minorHAnsi"/>
          <w:sz w:val="22"/>
          <w:szCs w:val="22"/>
          <w:lang w:eastAsia="en-AU"/>
        </w:rPr>
        <w:t xml:space="preserve">an independent assessment. </w:t>
      </w:r>
    </w:p>
    <w:p w14:paraId="7A2C316B" w14:textId="454285D9" w:rsidR="00893D3A" w:rsidRPr="00001999" w:rsidRDefault="008D2063" w:rsidP="0091295F">
      <w:pPr>
        <w:spacing w:after="160" w:line="240" w:lineRule="auto"/>
        <w:rPr>
          <w:rFonts w:cstheme="minorHAnsi"/>
          <w:sz w:val="22"/>
          <w:szCs w:val="22"/>
        </w:rPr>
      </w:pPr>
      <w:r w:rsidRPr="00001999">
        <w:rPr>
          <w:rFonts w:cstheme="minorHAnsi"/>
          <w:b/>
          <w:bCs/>
          <w:sz w:val="22"/>
          <w:szCs w:val="22"/>
        </w:rPr>
        <w:t>Action:</w:t>
      </w:r>
      <w:r w:rsidR="00796AAC" w:rsidRPr="00001999">
        <w:rPr>
          <w:rFonts w:cstheme="minorHAnsi"/>
          <w:b/>
          <w:bCs/>
          <w:sz w:val="22"/>
          <w:szCs w:val="22"/>
        </w:rPr>
        <w:t xml:space="preserve"> </w:t>
      </w:r>
      <w:r w:rsidRPr="00001999">
        <w:rPr>
          <w:rFonts w:cstheme="minorHAnsi"/>
          <w:b/>
          <w:bCs/>
          <w:sz w:val="22"/>
          <w:szCs w:val="22"/>
        </w:rPr>
        <w:t xml:space="preserve">Demand Forecasting Working Group </w:t>
      </w:r>
      <w:r w:rsidR="00001999">
        <w:rPr>
          <w:rFonts w:cstheme="minorHAnsi"/>
          <w:b/>
          <w:bCs/>
          <w:sz w:val="22"/>
          <w:szCs w:val="22"/>
        </w:rPr>
        <w:t>to undertake the independent demand forecast review and share any findings or implications with ElectraNet</w:t>
      </w:r>
      <w:r w:rsidRPr="00001999">
        <w:rPr>
          <w:rFonts w:cstheme="minorHAnsi"/>
          <w:b/>
          <w:bCs/>
          <w:sz w:val="22"/>
          <w:szCs w:val="22"/>
        </w:rPr>
        <w:t>.</w:t>
      </w:r>
    </w:p>
    <w:p w14:paraId="4389FC8C" w14:textId="0F91FCC1" w:rsidR="00001720" w:rsidRPr="00C050C5" w:rsidRDefault="00001720" w:rsidP="00001720">
      <w:pPr>
        <w:pStyle w:val="Heading2"/>
        <w:numPr>
          <w:ilvl w:val="0"/>
          <w:numId w:val="41"/>
        </w:numPr>
        <w:ind w:left="340" w:hanging="340"/>
        <w:rPr>
          <w:rFonts w:asciiTheme="minorHAnsi" w:hAnsiTheme="minorHAnsi" w:cstheme="minorHAnsi"/>
          <w:b/>
          <w:bCs/>
        </w:rPr>
      </w:pPr>
      <w:r w:rsidRPr="00C050C5">
        <w:rPr>
          <w:rFonts w:asciiTheme="minorHAnsi" w:hAnsiTheme="minorHAnsi" w:cstheme="minorHAnsi"/>
          <w:b/>
          <w:bCs/>
        </w:rPr>
        <w:t>Revenue Reset Working Group Update</w:t>
      </w:r>
    </w:p>
    <w:p w14:paraId="0DC34129" w14:textId="1DDA57D8" w:rsidR="005305A8" w:rsidRPr="00001999" w:rsidRDefault="00073FCD" w:rsidP="005305A8">
      <w:pPr>
        <w:spacing w:after="160" w:line="240" w:lineRule="auto"/>
        <w:rPr>
          <w:rFonts w:cstheme="minorHAnsi"/>
          <w:sz w:val="22"/>
          <w:szCs w:val="22"/>
        </w:rPr>
      </w:pPr>
      <w:r w:rsidRPr="00001999">
        <w:rPr>
          <w:rFonts w:cstheme="minorHAnsi"/>
          <w:b/>
          <w:bCs/>
          <w:sz w:val="22"/>
          <w:szCs w:val="22"/>
        </w:rPr>
        <w:t>Jeremy Tustin</w:t>
      </w:r>
      <w:r w:rsidRPr="00001999">
        <w:rPr>
          <w:rFonts w:cstheme="minorHAnsi"/>
          <w:sz w:val="22"/>
          <w:szCs w:val="22"/>
        </w:rPr>
        <w:t xml:space="preserve"> </w:t>
      </w:r>
      <w:r w:rsidR="005305A8" w:rsidRPr="00001999">
        <w:rPr>
          <w:rFonts w:cstheme="minorHAnsi"/>
          <w:sz w:val="22"/>
          <w:szCs w:val="22"/>
        </w:rPr>
        <w:t xml:space="preserve">provided an update on the Revenue Reset, noting the foundational engagement work completed this year to build members’ understanding and prepare for 2026. The reference group discussed the importance of starting engagement early and working collaboratively throughout the process. To support this, ElectraNet will share draft revenue proposal documents and supporting engagement materials with CAP members early in 2026. This will allow for iterative discussion and feedback before the </w:t>
      </w:r>
      <w:r w:rsidR="00387A7B">
        <w:rPr>
          <w:rFonts w:cstheme="minorHAnsi"/>
          <w:sz w:val="22"/>
          <w:szCs w:val="22"/>
        </w:rPr>
        <w:t xml:space="preserve">Preliminary Revenue Proposal </w:t>
      </w:r>
      <w:r w:rsidR="005305A8" w:rsidRPr="00001999">
        <w:rPr>
          <w:rFonts w:cstheme="minorHAnsi"/>
          <w:sz w:val="22"/>
          <w:szCs w:val="22"/>
        </w:rPr>
        <w:t>is finalised and published mid</w:t>
      </w:r>
      <w:r w:rsidR="005305A8" w:rsidRPr="00001999">
        <w:rPr>
          <w:rFonts w:cstheme="minorHAnsi"/>
          <w:sz w:val="22"/>
          <w:szCs w:val="22"/>
        </w:rPr>
        <w:noBreakHyphen/>
        <w:t>year.</w:t>
      </w:r>
    </w:p>
    <w:p w14:paraId="67D8E2FD" w14:textId="4D6003D9" w:rsidR="00073FCD" w:rsidRPr="00001999" w:rsidRDefault="00387A7B" w:rsidP="00073FCD">
      <w:pPr>
        <w:spacing w:after="160" w:line="240" w:lineRule="auto"/>
        <w:rPr>
          <w:rFonts w:cstheme="minorHAnsi"/>
          <w:sz w:val="22"/>
          <w:szCs w:val="22"/>
        </w:rPr>
      </w:pPr>
      <w:r>
        <w:rPr>
          <w:rFonts w:cstheme="minorHAnsi"/>
          <w:sz w:val="22"/>
          <w:szCs w:val="22"/>
        </w:rPr>
        <w:t>M</w:t>
      </w:r>
      <w:r w:rsidR="00073FCD" w:rsidRPr="00001999">
        <w:rPr>
          <w:rFonts w:cstheme="minorHAnsi"/>
          <w:sz w:val="22"/>
          <w:szCs w:val="22"/>
        </w:rPr>
        <w:t xml:space="preserve">embers reflected on feedback from September about clarifying the RRRG’s objectives and amending </w:t>
      </w:r>
      <w:r>
        <w:rPr>
          <w:rFonts w:cstheme="minorHAnsi"/>
          <w:sz w:val="22"/>
          <w:szCs w:val="22"/>
        </w:rPr>
        <w:t>its</w:t>
      </w:r>
      <w:r w:rsidR="00073FCD" w:rsidRPr="00001999">
        <w:rPr>
          <w:rFonts w:cstheme="minorHAnsi"/>
          <w:sz w:val="22"/>
          <w:szCs w:val="22"/>
        </w:rPr>
        <w:t xml:space="preserve"> Terms of Reference (ToR) to support genuine engagement and address consumer concerns. There was agreement to recalibrate the focus of the reference group for 2026, ensuring everyone is clear on expected outputs and alignment with ElectraNet’s goals. The need for a workshop in January was raised</w:t>
      </w:r>
      <w:r>
        <w:rPr>
          <w:rFonts w:cstheme="minorHAnsi"/>
          <w:sz w:val="22"/>
          <w:szCs w:val="22"/>
        </w:rPr>
        <w:t xml:space="preserve"> </w:t>
      </w:r>
      <w:r w:rsidR="00073FCD" w:rsidRPr="00001999">
        <w:rPr>
          <w:rFonts w:cstheme="minorHAnsi"/>
          <w:sz w:val="22"/>
          <w:szCs w:val="22"/>
        </w:rPr>
        <w:t>to confirm the group’s direction and resourcing.</w:t>
      </w:r>
    </w:p>
    <w:p w14:paraId="068901B8" w14:textId="27829850" w:rsidR="00073FCD" w:rsidRPr="00001999" w:rsidRDefault="00073FCD" w:rsidP="00073FCD">
      <w:pPr>
        <w:spacing w:after="160" w:line="240" w:lineRule="auto"/>
        <w:rPr>
          <w:rFonts w:cstheme="minorHAnsi"/>
          <w:sz w:val="22"/>
          <w:szCs w:val="22"/>
        </w:rPr>
      </w:pPr>
      <w:r w:rsidRPr="00001999">
        <w:rPr>
          <w:rFonts w:cstheme="minorHAnsi"/>
          <w:b/>
          <w:bCs/>
          <w:sz w:val="22"/>
          <w:szCs w:val="22"/>
        </w:rPr>
        <w:t>Andrew Richards</w:t>
      </w:r>
      <w:r w:rsidRPr="00001999">
        <w:rPr>
          <w:rFonts w:cstheme="minorHAnsi"/>
          <w:sz w:val="22"/>
          <w:szCs w:val="22"/>
        </w:rPr>
        <w:t xml:space="preserve"> reiterated the importance of defining the reference group’s role and updating the ToR accordingly. The group </w:t>
      </w:r>
      <w:r w:rsidR="00387A7B">
        <w:rPr>
          <w:rFonts w:cstheme="minorHAnsi"/>
          <w:sz w:val="22"/>
          <w:szCs w:val="22"/>
        </w:rPr>
        <w:t xml:space="preserve">also </w:t>
      </w:r>
      <w:r w:rsidRPr="00001999">
        <w:rPr>
          <w:rFonts w:cstheme="minorHAnsi"/>
          <w:sz w:val="22"/>
          <w:szCs w:val="22"/>
        </w:rPr>
        <w:t xml:space="preserve">agreed that the Business Narrative </w:t>
      </w:r>
      <w:r w:rsidR="00387A7B">
        <w:rPr>
          <w:rFonts w:cstheme="minorHAnsi"/>
          <w:sz w:val="22"/>
          <w:szCs w:val="22"/>
        </w:rPr>
        <w:t xml:space="preserve">being developed by ElectraNet </w:t>
      </w:r>
      <w:r w:rsidRPr="00001999">
        <w:rPr>
          <w:rFonts w:cstheme="minorHAnsi"/>
          <w:sz w:val="22"/>
          <w:szCs w:val="22"/>
        </w:rPr>
        <w:t>should also be socialised with the RRRG.</w:t>
      </w:r>
    </w:p>
    <w:p w14:paraId="5113A258" w14:textId="77777777" w:rsidR="00073FCD" w:rsidRPr="00001999" w:rsidRDefault="00073FCD" w:rsidP="00073FCD">
      <w:pPr>
        <w:spacing w:after="160" w:line="240" w:lineRule="auto"/>
        <w:rPr>
          <w:rFonts w:cstheme="minorHAnsi"/>
          <w:sz w:val="22"/>
          <w:szCs w:val="22"/>
        </w:rPr>
      </w:pPr>
      <w:r w:rsidRPr="00001999">
        <w:rPr>
          <w:rFonts w:cstheme="minorHAnsi"/>
          <w:b/>
          <w:bCs/>
          <w:sz w:val="22"/>
          <w:szCs w:val="22"/>
        </w:rPr>
        <w:t>Actions:</w:t>
      </w:r>
    </w:p>
    <w:p w14:paraId="7947F424" w14:textId="208A47FD" w:rsidR="00073FCD" w:rsidRPr="00387A7B" w:rsidRDefault="00073FCD" w:rsidP="00387A7B">
      <w:pPr>
        <w:numPr>
          <w:ilvl w:val="0"/>
          <w:numId w:val="74"/>
        </w:numPr>
        <w:spacing w:after="160" w:line="240" w:lineRule="auto"/>
        <w:rPr>
          <w:rFonts w:cstheme="minorHAnsi"/>
          <w:b/>
          <w:bCs/>
          <w:sz w:val="22"/>
          <w:szCs w:val="22"/>
        </w:rPr>
      </w:pPr>
      <w:r w:rsidRPr="00387A7B">
        <w:rPr>
          <w:rFonts w:cstheme="minorHAnsi"/>
          <w:b/>
          <w:bCs/>
          <w:sz w:val="22"/>
          <w:szCs w:val="22"/>
        </w:rPr>
        <w:t>Bec Malhotra to confirm the RRRG workshop scheduled for January cover</w:t>
      </w:r>
      <w:r w:rsidR="00387A7B" w:rsidRPr="00387A7B">
        <w:rPr>
          <w:rFonts w:cstheme="minorHAnsi"/>
          <w:b/>
          <w:bCs/>
          <w:sz w:val="22"/>
          <w:szCs w:val="22"/>
        </w:rPr>
        <w:t>ing</w:t>
      </w:r>
      <w:r w:rsidRPr="00387A7B">
        <w:rPr>
          <w:rFonts w:cstheme="minorHAnsi"/>
          <w:b/>
          <w:bCs/>
          <w:sz w:val="22"/>
          <w:szCs w:val="22"/>
        </w:rPr>
        <w:t xml:space="preserve"> the 2026 engagement schedule, revised engagement approach and resourcing. </w:t>
      </w:r>
    </w:p>
    <w:p w14:paraId="5B6A8AD2" w14:textId="73F8762B" w:rsidR="00C04548" w:rsidRPr="00387A7B" w:rsidRDefault="00C04548" w:rsidP="00387A7B">
      <w:pPr>
        <w:pStyle w:val="ListParagraph"/>
        <w:numPr>
          <w:ilvl w:val="0"/>
          <w:numId w:val="74"/>
        </w:numPr>
        <w:adjustRightInd/>
        <w:snapToGrid/>
        <w:spacing w:before="0" w:after="0" w:line="300" w:lineRule="atLeast"/>
        <w:rPr>
          <w:rFonts w:eastAsia="Times New Roman" w:cstheme="minorHAnsi"/>
          <w:b/>
          <w:bCs/>
          <w:sz w:val="22"/>
          <w:szCs w:val="22"/>
          <w:lang w:eastAsia="en-AU"/>
        </w:rPr>
      </w:pPr>
      <w:r w:rsidRPr="00387A7B">
        <w:rPr>
          <w:rFonts w:eastAsia="Times New Roman" w:cstheme="minorHAnsi"/>
          <w:b/>
          <w:bCs/>
          <w:sz w:val="22"/>
          <w:szCs w:val="22"/>
          <w:lang w:eastAsia="en-AU"/>
        </w:rPr>
        <w:t xml:space="preserve">Bec Malhotra </w:t>
      </w:r>
      <w:r w:rsidR="00387A7B" w:rsidRPr="00387A7B">
        <w:rPr>
          <w:rFonts w:eastAsia="Times New Roman" w:cstheme="minorHAnsi"/>
          <w:b/>
          <w:bCs/>
          <w:sz w:val="22"/>
          <w:szCs w:val="22"/>
          <w:lang w:eastAsia="en-AU"/>
        </w:rPr>
        <w:t>to</w:t>
      </w:r>
      <w:r w:rsidRPr="00387A7B">
        <w:rPr>
          <w:rFonts w:eastAsia="Times New Roman" w:cstheme="minorHAnsi"/>
          <w:b/>
          <w:bCs/>
          <w:sz w:val="22"/>
          <w:szCs w:val="22"/>
          <w:lang w:eastAsia="en-AU"/>
        </w:rPr>
        <w:t xml:space="preserve"> circulate the proposed </w:t>
      </w:r>
      <w:r w:rsidR="00387A7B" w:rsidRPr="00387A7B">
        <w:rPr>
          <w:rFonts w:eastAsia="Times New Roman" w:cstheme="minorHAnsi"/>
          <w:b/>
          <w:bCs/>
          <w:sz w:val="22"/>
          <w:szCs w:val="22"/>
          <w:lang w:eastAsia="en-AU"/>
        </w:rPr>
        <w:t xml:space="preserve">RRRG </w:t>
      </w:r>
      <w:r w:rsidRPr="00387A7B">
        <w:rPr>
          <w:rFonts w:eastAsia="Times New Roman" w:cstheme="minorHAnsi"/>
          <w:b/>
          <w:bCs/>
          <w:sz w:val="22"/>
          <w:szCs w:val="22"/>
          <w:lang w:eastAsia="en-AU"/>
        </w:rPr>
        <w:t xml:space="preserve">ToR changes and engagement responses to CAP members </w:t>
      </w:r>
      <w:r w:rsidR="00387A7B" w:rsidRPr="00387A7B">
        <w:rPr>
          <w:rFonts w:eastAsia="Times New Roman" w:cstheme="minorHAnsi"/>
          <w:b/>
          <w:bCs/>
          <w:sz w:val="22"/>
          <w:szCs w:val="22"/>
          <w:lang w:eastAsia="en-AU"/>
        </w:rPr>
        <w:t xml:space="preserve">for </w:t>
      </w:r>
      <w:r w:rsidRPr="00387A7B">
        <w:rPr>
          <w:rFonts w:eastAsia="Times New Roman" w:cstheme="minorHAnsi"/>
          <w:b/>
          <w:bCs/>
          <w:sz w:val="22"/>
          <w:szCs w:val="22"/>
          <w:lang w:eastAsia="en-AU"/>
        </w:rPr>
        <w:t>feedback at the January meeting.</w:t>
      </w:r>
    </w:p>
    <w:p w14:paraId="0CDD6992" w14:textId="7177AFFC" w:rsidR="00073FCD" w:rsidRPr="00387A7B" w:rsidRDefault="00C04548" w:rsidP="00387A7B">
      <w:pPr>
        <w:numPr>
          <w:ilvl w:val="0"/>
          <w:numId w:val="74"/>
        </w:numPr>
        <w:spacing w:after="160" w:line="240" w:lineRule="auto"/>
        <w:rPr>
          <w:rFonts w:cstheme="minorHAnsi"/>
          <w:b/>
          <w:bCs/>
          <w:sz w:val="22"/>
          <w:szCs w:val="22"/>
        </w:rPr>
      </w:pPr>
      <w:r w:rsidRPr="00387A7B">
        <w:rPr>
          <w:rFonts w:cstheme="minorHAnsi"/>
          <w:b/>
          <w:bCs/>
          <w:sz w:val="22"/>
          <w:szCs w:val="22"/>
        </w:rPr>
        <w:t>Bec Malhotra to share th</w:t>
      </w:r>
      <w:r w:rsidR="00073FCD" w:rsidRPr="00387A7B">
        <w:rPr>
          <w:rFonts w:cstheme="minorHAnsi"/>
          <w:b/>
          <w:bCs/>
          <w:sz w:val="22"/>
          <w:szCs w:val="22"/>
        </w:rPr>
        <w:t xml:space="preserve">e Business Narrative </w:t>
      </w:r>
      <w:r w:rsidRPr="00387A7B">
        <w:rPr>
          <w:rFonts w:cstheme="minorHAnsi"/>
          <w:b/>
          <w:bCs/>
          <w:sz w:val="22"/>
          <w:szCs w:val="22"/>
        </w:rPr>
        <w:t>with</w:t>
      </w:r>
      <w:r w:rsidR="00073FCD" w:rsidRPr="00387A7B">
        <w:rPr>
          <w:rFonts w:cstheme="minorHAnsi"/>
          <w:b/>
          <w:bCs/>
          <w:sz w:val="22"/>
          <w:szCs w:val="22"/>
        </w:rPr>
        <w:t xml:space="preserve"> the RRRG for feedback and discussion.</w:t>
      </w:r>
    </w:p>
    <w:p w14:paraId="61E02D39" w14:textId="4B60A846" w:rsidR="00C04548" w:rsidRDefault="00C04548" w:rsidP="00C04548">
      <w:pPr>
        <w:pStyle w:val="Heading2"/>
        <w:numPr>
          <w:ilvl w:val="1"/>
          <w:numId w:val="53"/>
        </w:numPr>
        <w:ind w:left="284" w:hanging="142"/>
        <w:rPr>
          <w:rFonts w:asciiTheme="minorHAnsi" w:hAnsiTheme="minorHAnsi" w:cstheme="minorHAnsi"/>
          <w:b/>
          <w:bCs/>
        </w:rPr>
      </w:pPr>
      <w:r w:rsidRPr="00EF6BD2">
        <w:rPr>
          <w:rFonts w:asciiTheme="minorHAnsi" w:hAnsiTheme="minorHAnsi" w:cstheme="minorHAnsi"/>
          <w:b/>
          <w:bCs/>
        </w:rPr>
        <w:lastRenderedPageBreak/>
        <w:t xml:space="preserve">NTx </w:t>
      </w:r>
      <w:r w:rsidR="00CD056C">
        <w:rPr>
          <w:rFonts w:asciiTheme="minorHAnsi" w:hAnsiTheme="minorHAnsi" w:cstheme="minorHAnsi"/>
          <w:b/>
          <w:bCs/>
        </w:rPr>
        <w:t xml:space="preserve">PADR </w:t>
      </w:r>
      <w:r w:rsidRPr="00EF6BD2">
        <w:rPr>
          <w:rFonts w:asciiTheme="minorHAnsi" w:hAnsiTheme="minorHAnsi" w:cstheme="minorHAnsi"/>
          <w:b/>
          <w:bCs/>
        </w:rPr>
        <w:t>Update</w:t>
      </w:r>
      <w:r w:rsidR="00CD056C">
        <w:rPr>
          <w:rFonts w:asciiTheme="minorHAnsi" w:hAnsiTheme="minorHAnsi" w:cstheme="minorHAnsi"/>
          <w:b/>
          <w:bCs/>
        </w:rPr>
        <w:t xml:space="preserve"> &amp; ISP Status</w:t>
      </w:r>
    </w:p>
    <w:p w14:paraId="6F0ECEDE" w14:textId="6CEB2C9E" w:rsidR="00B21FA7" w:rsidRPr="00387A7B" w:rsidRDefault="00B21FA7" w:rsidP="00B21FA7">
      <w:pPr>
        <w:adjustRightInd/>
        <w:snapToGrid/>
        <w:spacing w:before="100" w:beforeAutospacing="1" w:after="100" w:afterAutospacing="1" w:line="300" w:lineRule="atLeast"/>
        <w:rPr>
          <w:rFonts w:eastAsia="Times New Roman" w:cstheme="minorHAnsi"/>
          <w:sz w:val="22"/>
          <w:szCs w:val="22"/>
          <w:lang w:eastAsia="en-AU"/>
        </w:rPr>
      </w:pPr>
      <w:r w:rsidRPr="00387A7B">
        <w:rPr>
          <w:rFonts w:eastAsia="Times New Roman" w:cstheme="minorHAnsi"/>
          <w:b/>
          <w:bCs/>
          <w:sz w:val="22"/>
          <w:szCs w:val="22"/>
          <w:lang w:eastAsia="en-AU"/>
        </w:rPr>
        <w:t>Brad Harrison</w:t>
      </w:r>
      <w:r w:rsidRPr="00387A7B">
        <w:rPr>
          <w:rFonts w:eastAsia="Times New Roman" w:cstheme="minorHAnsi"/>
          <w:sz w:val="22"/>
          <w:szCs w:val="22"/>
          <w:lang w:eastAsia="en-AU"/>
        </w:rPr>
        <w:t xml:space="preserve"> provided an update on the actionable status of NTx in the upcoming </w:t>
      </w:r>
      <w:r w:rsidR="00622219">
        <w:rPr>
          <w:rFonts w:eastAsia="Times New Roman" w:cstheme="minorHAnsi"/>
          <w:sz w:val="22"/>
          <w:szCs w:val="22"/>
          <w:lang w:eastAsia="en-AU"/>
        </w:rPr>
        <w:t xml:space="preserve">draft </w:t>
      </w:r>
      <w:r w:rsidRPr="00387A7B">
        <w:rPr>
          <w:rFonts w:eastAsia="Times New Roman" w:cstheme="minorHAnsi"/>
          <w:sz w:val="22"/>
          <w:szCs w:val="22"/>
          <w:lang w:eastAsia="en-AU"/>
        </w:rPr>
        <w:t xml:space="preserve">ISP and discussed what this means for the project. Key points included: </w:t>
      </w:r>
    </w:p>
    <w:p w14:paraId="4C22B795" w14:textId="1A23921D" w:rsidR="004726E5" w:rsidRPr="00387A7B" w:rsidRDefault="004726E5" w:rsidP="00D03F51">
      <w:pPr>
        <w:numPr>
          <w:ilvl w:val="0"/>
          <w:numId w:val="75"/>
        </w:numPr>
        <w:rPr>
          <w:sz w:val="22"/>
          <w:szCs w:val="22"/>
        </w:rPr>
      </w:pPr>
      <w:r w:rsidRPr="00387A7B">
        <w:rPr>
          <w:sz w:val="22"/>
          <w:szCs w:val="22"/>
        </w:rPr>
        <w:t xml:space="preserve">ElectraNet is collaborating with AEMO to understand why NTx is not currently on the Optimal Development Path in the </w:t>
      </w:r>
      <w:r w:rsidR="00387A7B">
        <w:rPr>
          <w:sz w:val="22"/>
          <w:szCs w:val="22"/>
        </w:rPr>
        <w:t xml:space="preserve">draft </w:t>
      </w:r>
      <w:r w:rsidRPr="00387A7B">
        <w:rPr>
          <w:sz w:val="22"/>
          <w:szCs w:val="22"/>
        </w:rPr>
        <w:t>ISP, with further analysis underway.</w:t>
      </w:r>
    </w:p>
    <w:p w14:paraId="23206B74" w14:textId="51696C56" w:rsidR="004726E5" w:rsidRPr="00387A7B" w:rsidRDefault="004726E5" w:rsidP="00D03F51">
      <w:pPr>
        <w:numPr>
          <w:ilvl w:val="0"/>
          <w:numId w:val="75"/>
        </w:numPr>
        <w:rPr>
          <w:rFonts w:ascii="Poppins" w:hAnsi="Poppins" w:cs="Poppins"/>
          <w:sz w:val="22"/>
          <w:szCs w:val="22"/>
        </w:rPr>
      </w:pPr>
      <w:r w:rsidRPr="00387A7B">
        <w:rPr>
          <w:sz w:val="22"/>
          <w:szCs w:val="22"/>
        </w:rPr>
        <w:t xml:space="preserve">Investment in battery energy storage </w:t>
      </w:r>
      <w:r w:rsidR="00622219">
        <w:rPr>
          <w:sz w:val="22"/>
          <w:szCs w:val="22"/>
        </w:rPr>
        <w:t xml:space="preserve">systems </w:t>
      </w:r>
      <w:r w:rsidRPr="00387A7B">
        <w:rPr>
          <w:sz w:val="22"/>
          <w:szCs w:val="22"/>
        </w:rPr>
        <w:t xml:space="preserve">(BESS) is expected to reach 3.1 GW, driven by the Firm Energy Reliability Mechanism and the Capacity Investment Scheme. However, there </w:t>
      </w:r>
      <w:r w:rsidRPr="00387A7B">
        <w:rPr>
          <w:rFonts w:ascii="Poppins" w:hAnsi="Poppins" w:cs="Poppins"/>
          <w:sz w:val="22"/>
          <w:szCs w:val="22"/>
        </w:rPr>
        <w:t xml:space="preserve">will be minimal investment in wind and solar until 2040, despite GW-scale projects </w:t>
      </w:r>
      <w:r w:rsidR="00622219">
        <w:rPr>
          <w:rFonts w:ascii="Poppins" w:hAnsi="Poppins" w:cs="Poppins"/>
          <w:sz w:val="22"/>
          <w:szCs w:val="22"/>
        </w:rPr>
        <w:t xml:space="preserve">currently being pursued </w:t>
      </w:r>
      <w:r w:rsidRPr="00387A7B">
        <w:rPr>
          <w:rFonts w:ascii="Poppins" w:hAnsi="Poppins" w:cs="Poppins"/>
          <w:sz w:val="22"/>
          <w:szCs w:val="22"/>
        </w:rPr>
        <w:t>across the state.</w:t>
      </w:r>
    </w:p>
    <w:p w14:paraId="2DC71330" w14:textId="185E5ECC" w:rsidR="004726E5" w:rsidRPr="00622219" w:rsidRDefault="004726E5" w:rsidP="00D03F51">
      <w:pPr>
        <w:numPr>
          <w:ilvl w:val="0"/>
          <w:numId w:val="75"/>
        </w:numPr>
        <w:rPr>
          <w:rFonts w:ascii="Poppins" w:hAnsi="Poppins" w:cs="Poppins"/>
          <w:sz w:val="22"/>
          <w:szCs w:val="22"/>
        </w:rPr>
      </w:pPr>
      <w:r w:rsidRPr="00387A7B">
        <w:rPr>
          <w:rFonts w:ascii="Poppins" w:hAnsi="Poppins" w:cs="Poppins"/>
          <w:sz w:val="22"/>
          <w:szCs w:val="22"/>
        </w:rPr>
        <w:t>The ISP modelling does not clearly identify which Renewable Energy Zones (REZs) will host new batteries or generation, making it difficult to assess transmission needs and project justification. There are inconsistencies in the modelling, such as significant renewables forecast without corres</w:t>
      </w:r>
      <w:r w:rsidRPr="00622219">
        <w:rPr>
          <w:rFonts w:ascii="Poppins" w:hAnsi="Poppins" w:cs="Poppins"/>
          <w:sz w:val="22"/>
          <w:szCs w:val="22"/>
        </w:rPr>
        <w:t>ponding transmission investment, and uncertainty about how new generation will access load centres.</w:t>
      </w:r>
    </w:p>
    <w:p w14:paraId="4937EE4E" w14:textId="7DD16A4E" w:rsidR="004726E5" w:rsidRPr="00387A7B" w:rsidRDefault="004726E5" w:rsidP="00D03F51">
      <w:pPr>
        <w:numPr>
          <w:ilvl w:val="0"/>
          <w:numId w:val="75"/>
        </w:numPr>
        <w:rPr>
          <w:rFonts w:ascii="Poppins" w:hAnsi="Poppins" w:cs="Poppins"/>
          <w:sz w:val="22"/>
          <w:szCs w:val="22"/>
        </w:rPr>
      </w:pPr>
      <w:r w:rsidRPr="00622219">
        <w:rPr>
          <w:rFonts w:ascii="Poppins" w:hAnsi="Poppins" w:cs="Poppins"/>
          <w:sz w:val="22"/>
          <w:szCs w:val="22"/>
        </w:rPr>
        <w:t>The draft ISP is scheduled for release on 10 December 2025, with submissions due in February 2026. The project remains actionable until at</w:t>
      </w:r>
      <w:r w:rsidRPr="00387A7B">
        <w:rPr>
          <w:rFonts w:ascii="Poppins" w:hAnsi="Poppins" w:cs="Poppins"/>
          <w:sz w:val="22"/>
          <w:szCs w:val="22"/>
        </w:rPr>
        <w:t xml:space="preserve"> least June 2026, when the final ISP is </w:t>
      </w:r>
      <w:r w:rsidR="00622219">
        <w:rPr>
          <w:rFonts w:ascii="Poppins" w:hAnsi="Poppins" w:cs="Poppins"/>
          <w:sz w:val="22"/>
          <w:szCs w:val="22"/>
        </w:rPr>
        <w:t xml:space="preserve">due to be </w:t>
      </w:r>
      <w:r w:rsidRPr="00387A7B">
        <w:rPr>
          <w:rFonts w:ascii="Poppins" w:hAnsi="Poppins" w:cs="Poppins"/>
          <w:sz w:val="22"/>
          <w:szCs w:val="22"/>
        </w:rPr>
        <w:t>published.</w:t>
      </w:r>
    </w:p>
    <w:p w14:paraId="308EE789" w14:textId="436BE3CA" w:rsidR="00CD056C" w:rsidRPr="00387A7B" w:rsidRDefault="00CD056C" w:rsidP="00622219">
      <w:pPr>
        <w:adjustRightInd/>
        <w:snapToGrid/>
        <w:spacing w:before="100" w:beforeAutospacing="1" w:after="100" w:afterAutospacing="1" w:line="300" w:lineRule="atLeast"/>
        <w:rPr>
          <w:rFonts w:ascii="Poppins" w:eastAsia="Times New Roman" w:hAnsi="Poppins" w:cs="Poppins"/>
          <w:b/>
          <w:bCs/>
          <w:sz w:val="22"/>
          <w:szCs w:val="22"/>
          <w:lang w:eastAsia="en-AU"/>
        </w:rPr>
      </w:pPr>
      <w:r w:rsidRPr="00387A7B">
        <w:rPr>
          <w:rFonts w:ascii="Poppins" w:eastAsia="Times New Roman" w:hAnsi="Poppins" w:cs="Poppins"/>
          <w:b/>
          <w:bCs/>
          <w:sz w:val="22"/>
          <w:szCs w:val="22"/>
          <w:lang w:eastAsia="en-AU"/>
        </w:rPr>
        <w:t>Action:</w:t>
      </w:r>
      <w:r w:rsidR="004726E5" w:rsidRPr="00387A7B">
        <w:rPr>
          <w:rFonts w:ascii="Poppins" w:eastAsia="Times New Roman" w:hAnsi="Poppins" w:cs="Poppins"/>
          <w:b/>
          <w:bCs/>
          <w:sz w:val="22"/>
          <w:szCs w:val="22"/>
          <w:lang w:eastAsia="en-AU"/>
        </w:rPr>
        <w:t xml:space="preserve"> </w:t>
      </w:r>
      <w:r w:rsidRPr="00387A7B">
        <w:rPr>
          <w:rFonts w:ascii="Poppins" w:eastAsia="Times New Roman" w:hAnsi="Poppins" w:cs="Poppins"/>
          <w:b/>
          <w:bCs/>
          <w:sz w:val="22"/>
          <w:szCs w:val="22"/>
          <w:lang w:eastAsia="en-AU"/>
        </w:rPr>
        <w:t>CAP members to reflect on the draft ISP findings and consider what role the CAP may need to play in responding.</w:t>
      </w:r>
    </w:p>
    <w:p w14:paraId="6BE9D090" w14:textId="64712834" w:rsidR="006102EF" w:rsidRPr="00387A7B" w:rsidRDefault="00B21FA7" w:rsidP="006102EF">
      <w:pPr>
        <w:adjustRightInd/>
        <w:snapToGrid/>
        <w:spacing w:before="0" w:after="0" w:line="300" w:lineRule="atLeast"/>
        <w:rPr>
          <w:rFonts w:eastAsia="Times New Roman" w:cstheme="minorHAnsi"/>
          <w:sz w:val="22"/>
          <w:szCs w:val="22"/>
          <w:lang w:eastAsia="en-AU"/>
        </w:rPr>
      </w:pPr>
      <w:r w:rsidRPr="00387A7B">
        <w:rPr>
          <w:rFonts w:eastAsia="Times New Roman" w:cstheme="minorHAnsi"/>
          <w:b/>
          <w:bCs/>
          <w:sz w:val="22"/>
          <w:szCs w:val="22"/>
          <w:lang w:eastAsia="en-AU"/>
        </w:rPr>
        <w:t>David Tansell</w:t>
      </w:r>
      <w:r w:rsidRPr="00387A7B">
        <w:rPr>
          <w:rFonts w:eastAsia="Times New Roman" w:cstheme="minorHAnsi"/>
          <w:sz w:val="22"/>
          <w:szCs w:val="22"/>
          <w:lang w:eastAsia="en-AU"/>
        </w:rPr>
        <w:t xml:space="preserve"> presented three options </w:t>
      </w:r>
      <w:r w:rsidR="00622219">
        <w:rPr>
          <w:rFonts w:eastAsia="Times New Roman" w:cstheme="minorHAnsi"/>
          <w:sz w:val="22"/>
          <w:szCs w:val="22"/>
          <w:lang w:eastAsia="en-AU"/>
        </w:rPr>
        <w:t xml:space="preserve">being considered </w:t>
      </w:r>
      <w:r w:rsidRPr="00387A7B">
        <w:rPr>
          <w:rFonts w:eastAsia="Times New Roman" w:cstheme="minorHAnsi"/>
          <w:sz w:val="22"/>
          <w:szCs w:val="22"/>
          <w:lang w:eastAsia="en-AU"/>
        </w:rPr>
        <w:t xml:space="preserve">for </w:t>
      </w:r>
      <w:r w:rsidR="006102EF" w:rsidRPr="00387A7B">
        <w:rPr>
          <w:rFonts w:eastAsia="Times New Roman" w:cstheme="minorHAnsi"/>
          <w:sz w:val="22"/>
          <w:szCs w:val="22"/>
          <w:lang w:eastAsia="en-AU"/>
        </w:rPr>
        <w:t>CPA1b funding options</w:t>
      </w:r>
      <w:r w:rsidR="00ED35F8" w:rsidRPr="00387A7B">
        <w:rPr>
          <w:rFonts w:eastAsia="Times New Roman" w:cstheme="minorHAnsi"/>
          <w:sz w:val="22"/>
          <w:szCs w:val="22"/>
          <w:lang w:eastAsia="en-AU"/>
        </w:rPr>
        <w:t>:</w:t>
      </w:r>
    </w:p>
    <w:p w14:paraId="20907BEE" w14:textId="77777777" w:rsidR="006102EF" w:rsidRPr="00387A7B" w:rsidRDefault="006102EF" w:rsidP="006102EF">
      <w:pPr>
        <w:adjustRightInd/>
        <w:snapToGrid/>
        <w:spacing w:before="0" w:after="0" w:line="300" w:lineRule="atLeast"/>
        <w:rPr>
          <w:rFonts w:eastAsia="Times New Roman" w:cstheme="minorHAnsi"/>
          <w:sz w:val="22"/>
          <w:szCs w:val="22"/>
          <w:lang w:eastAsia="en-AU"/>
        </w:rPr>
      </w:pPr>
    </w:p>
    <w:p w14:paraId="366266EC" w14:textId="2CC4A6ED" w:rsidR="006102EF" w:rsidRPr="00387A7B" w:rsidRDefault="006102EF" w:rsidP="00D03F51">
      <w:pPr>
        <w:pStyle w:val="ListParagraph"/>
        <w:numPr>
          <w:ilvl w:val="0"/>
          <w:numId w:val="76"/>
        </w:numPr>
        <w:adjustRightInd/>
        <w:snapToGrid/>
        <w:spacing w:before="0" w:after="0" w:line="300" w:lineRule="atLeast"/>
        <w:rPr>
          <w:rFonts w:eastAsia="Times New Roman" w:cstheme="minorHAnsi"/>
          <w:sz w:val="22"/>
          <w:szCs w:val="22"/>
          <w:lang w:eastAsia="en-AU"/>
        </w:rPr>
      </w:pPr>
      <w:r w:rsidRPr="00387A7B">
        <w:rPr>
          <w:rFonts w:ascii="Poppins" w:eastAsia="Times New Roman" w:hAnsi="Poppins" w:cs="Poppins"/>
          <w:b/>
          <w:bCs/>
          <w:sz w:val="22"/>
          <w:szCs w:val="22"/>
          <w:lang w:eastAsia="en-AU"/>
        </w:rPr>
        <w:t>Option 1 (Low):</w:t>
      </w:r>
      <w:r w:rsidRPr="00387A7B">
        <w:rPr>
          <w:rFonts w:ascii="Poppins" w:eastAsia="Times New Roman" w:hAnsi="Poppins" w:cs="Poppins"/>
          <w:sz w:val="22"/>
          <w:szCs w:val="22"/>
          <w:lang w:eastAsia="en-AU"/>
        </w:rPr>
        <w:br/>
        <w:t>No submission in December, with the application deferred until April</w:t>
      </w:r>
      <w:r w:rsidR="00622219">
        <w:rPr>
          <w:rFonts w:ascii="Poppins" w:eastAsia="Times New Roman" w:hAnsi="Poppins" w:cs="Poppins"/>
          <w:sz w:val="22"/>
          <w:szCs w:val="22"/>
          <w:lang w:eastAsia="en-AU"/>
        </w:rPr>
        <w:t xml:space="preserve">, </w:t>
      </w:r>
      <w:r w:rsidRPr="00387A7B">
        <w:rPr>
          <w:rFonts w:ascii="Poppins" w:eastAsia="Times New Roman" w:hAnsi="Poppins" w:cs="Poppins"/>
          <w:sz w:val="22"/>
          <w:szCs w:val="22"/>
          <w:lang w:eastAsia="en-AU"/>
        </w:rPr>
        <w:t>seeking either ~$40–50m or ~$150m, pending a final decision. This would slow progress on early contractor involvement (ECI), EIS activities, engagement, and easement acquisition, resulting in an estimat</w:t>
      </w:r>
      <w:r w:rsidRPr="00622219">
        <w:rPr>
          <w:rFonts w:ascii="Poppins" w:eastAsia="Times New Roman" w:hAnsi="Poppins" w:cs="Poppins"/>
          <w:sz w:val="22"/>
          <w:szCs w:val="22"/>
          <w:lang w:eastAsia="en-AU"/>
        </w:rPr>
        <w:t>ed 6–12 month delay t</w:t>
      </w:r>
      <w:r w:rsidRPr="00387A7B">
        <w:rPr>
          <w:rFonts w:ascii="Poppins" w:eastAsia="Times New Roman" w:hAnsi="Poppins" w:cs="Poppins"/>
          <w:sz w:val="22"/>
          <w:szCs w:val="22"/>
          <w:lang w:eastAsia="en-AU"/>
        </w:rPr>
        <w:t>o the project.</w:t>
      </w:r>
    </w:p>
    <w:p w14:paraId="54085175" w14:textId="77777777" w:rsidR="006102EF" w:rsidRPr="00387A7B" w:rsidRDefault="006102EF" w:rsidP="006102EF">
      <w:pPr>
        <w:pStyle w:val="ListParagraph"/>
        <w:adjustRightInd/>
        <w:snapToGrid/>
        <w:spacing w:before="100" w:beforeAutospacing="1" w:after="100" w:afterAutospacing="1" w:line="300" w:lineRule="atLeast"/>
        <w:rPr>
          <w:rFonts w:ascii="Poppins" w:eastAsia="Times New Roman" w:hAnsi="Poppins" w:cs="Poppins"/>
          <w:sz w:val="22"/>
          <w:szCs w:val="22"/>
          <w:lang w:eastAsia="en-AU"/>
        </w:rPr>
      </w:pPr>
    </w:p>
    <w:p w14:paraId="7813426C" w14:textId="61AAF0B2" w:rsidR="006102EF" w:rsidRPr="00387A7B" w:rsidRDefault="006102EF" w:rsidP="00D03F51">
      <w:pPr>
        <w:pStyle w:val="ListParagraph"/>
        <w:numPr>
          <w:ilvl w:val="0"/>
          <w:numId w:val="76"/>
        </w:numPr>
        <w:adjustRightInd/>
        <w:snapToGrid/>
        <w:spacing w:before="100" w:beforeAutospacing="1" w:after="100" w:afterAutospacing="1" w:line="300" w:lineRule="atLeast"/>
        <w:rPr>
          <w:rFonts w:ascii="Poppins" w:eastAsia="Times New Roman" w:hAnsi="Poppins" w:cs="Poppins"/>
          <w:sz w:val="22"/>
          <w:szCs w:val="22"/>
          <w:lang w:eastAsia="en-AU"/>
        </w:rPr>
      </w:pPr>
      <w:r w:rsidRPr="00387A7B">
        <w:rPr>
          <w:rFonts w:ascii="Poppins" w:eastAsia="Times New Roman" w:hAnsi="Poppins" w:cs="Poppins"/>
          <w:b/>
          <w:bCs/>
          <w:sz w:val="22"/>
          <w:szCs w:val="22"/>
          <w:lang w:eastAsia="en-AU"/>
        </w:rPr>
        <w:t>Option 2 (Medium):</w:t>
      </w:r>
      <w:r w:rsidRPr="00387A7B">
        <w:rPr>
          <w:rFonts w:ascii="Poppins" w:eastAsia="Times New Roman" w:hAnsi="Poppins" w:cs="Poppins"/>
          <w:sz w:val="22"/>
          <w:szCs w:val="22"/>
          <w:lang w:eastAsia="en-AU"/>
        </w:rPr>
        <w:br/>
        <w:t xml:space="preserve">Submit in December </w:t>
      </w:r>
      <w:r w:rsidR="00622219">
        <w:rPr>
          <w:rFonts w:ascii="Poppins" w:eastAsia="Times New Roman" w:hAnsi="Poppins" w:cs="Poppins"/>
          <w:sz w:val="22"/>
          <w:szCs w:val="22"/>
          <w:lang w:eastAsia="en-AU"/>
        </w:rPr>
        <w:t>seeking</w:t>
      </w:r>
      <w:r w:rsidRPr="00622219">
        <w:rPr>
          <w:rFonts w:ascii="Poppins" w:eastAsia="Times New Roman" w:hAnsi="Poppins" w:cs="Poppins"/>
          <w:sz w:val="22"/>
          <w:szCs w:val="22"/>
          <w:lang w:eastAsia="en-AU"/>
        </w:rPr>
        <w:t xml:space="preserve"> $40–50m to maintain momentum on key early works, including ECI, EIS activities, stakeholder engagement, and easement acquisition. The remaining funding would be sou</w:t>
      </w:r>
      <w:r w:rsidRPr="00387A7B">
        <w:rPr>
          <w:rFonts w:ascii="Poppins" w:eastAsia="Times New Roman" w:hAnsi="Poppins" w:cs="Poppins"/>
          <w:sz w:val="22"/>
          <w:szCs w:val="22"/>
          <w:lang w:eastAsia="en-AU"/>
        </w:rPr>
        <w:t>ght after the PADR in April/May if the project continues to be justified. This option offers a balanced approach, enabling important activities to continue while limiting cost exposure if the project loses actionable status. It is also likely to align with the AER’s preference for a prudent, staged approach.</w:t>
      </w:r>
    </w:p>
    <w:p w14:paraId="6011591B" w14:textId="77777777" w:rsidR="006102EF" w:rsidRPr="00387A7B" w:rsidRDefault="006102EF" w:rsidP="006102EF">
      <w:pPr>
        <w:pStyle w:val="ListParagraph"/>
        <w:rPr>
          <w:rFonts w:ascii="Poppins" w:eastAsia="Times New Roman" w:hAnsi="Poppins" w:cs="Poppins"/>
          <w:sz w:val="22"/>
          <w:szCs w:val="22"/>
          <w:lang w:eastAsia="en-AU"/>
        </w:rPr>
      </w:pPr>
    </w:p>
    <w:p w14:paraId="15E82F82" w14:textId="5A9356BD" w:rsidR="006102EF" w:rsidRPr="00387A7B" w:rsidRDefault="006102EF" w:rsidP="00D03F51">
      <w:pPr>
        <w:pStyle w:val="ListParagraph"/>
        <w:numPr>
          <w:ilvl w:val="0"/>
          <w:numId w:val="76"/>
        </w:numPr>
        <w:adjustRightInd/>
        <w:snapToGrid/>
        <w:spacing w:before="100" w:beforeAutospacing="1" w:after="100" w:afterAutospacing="1" w:line="300" w:lineRule="atLeast"/>
        <w:rPr>
          <w:rFonts w:ascii="Poppins" w:eastAsia="Times New Roman" w:hAnsi="Poppins" w:cs="Poppins"/>
          <w:sz w:val="22"/>
          <w:szCs w:val="22"/>
          <w:lang w:eastAsia="en-AU"/>
        </w:rPr>
      </w:pPr>
      <w:r w:rsidRPr="00387A7B">
        <w:rPr>
          <w:rFonts w:ascii="Poppins" w:eastAsia="Times New Roman" w:hAnsi="Poppins" w:cs="Poppins"/>
          <w:b/>
          <w:bCs/>
          <w:sz w:val="22"/>
          <w:szCs w:val="22"/>
          <w:lang w:eastAsia="en-AU"/>
        </w:rPr>
        <w:lastRenderedPageBreak/>
        <w:t>Option 3 (High):</w:t>
      </w:r>
      <w:r w:rsidRPr="00387A7B">
        <w:rPr>
          <w:rFonts w:ascii="Poppins" w:eastAsia="Times New Roman" w:hAnsi="Poppins" w:cs="Poppins"/>
          <w:sz w:val="22"/>
          <w:szCs w:val="22"/>
          <w:lang w:eastAsia="en-AU"/>
        </w:rPr>
        <w:br/>
        <w:t xml:space="preserve">Submit in December </w:t>
      </w:r>
      <w:r w:rsidR="00D03F51">
        <w:rPr>
          <w:rFonts w:ascii="Poppins" w:eastAsia="Times New Roman" w:hAnsi="Poppins" w:cs="Poppins"/>
          <w:sz w:val="22"/>
          <w:szCs w:val="22"/>
          <w:lang w:eastAsia="en-AU"/>
        </w:rPr>
        <w:t>seeking</w:t>
      </w:r>
      <w:r w:rsidRPr="00D03F51">
        <w:rPr>
          <w:rFonts w:ascii="Poppins" w:eastAsia="Times New Roman" w:hAnsi="Poppins" w:cs="Poppins"/>
          <w:sz w:val="22"/>
          <w:szCs w:val="22"/>
          <w:lang w:eastAsia="en-AU"/>
        </w:rPr>
        <w:t xml:space="preserve"> ~$150m to fully maintain the current schedule and secure contractor resources. This option carries higher risk if project benefits are not confirmed and is not preferred giv</w:t>
      </w:r>
      <w:r w:rsidRPr="00387A7B">
        <w:rPr>
          <w:rFonts w:ascii="Poppins" w:eastAsia="Times New Roman" w:hAnsi="Poppins" w:cs="Poppins"/>
          <w:sz w:val="22"/>
          <w:szCs w:val="22"/>
          <w:lang w:eastAsia="en-AU"/>
        </w:rPr>
        <w:t xml:space="preserve">en uncertainty in the </w:t>
      </w:r>
      <w:r w:rsidR="00D03F51">
        <w:rPr>
          <w:rFonts w:ascii="Poppins" w:eastAsia="Times New Roman" w:hAnsi="Poppins" w:cs="Poppins"/>
          <w:sz w:val="22"/>
          <w:szCs w:val="22"/>
          <w:lang w:eastAsia="en-AU"/>
        </w:rPr>
        <w:t xml:space="preserve">draft </w:t>
      </w:r>
      <w:r w:rsidRPr="00387A7B">
        <w:rPr>
          <w:rFonts w:ascii="Poppins" w:eastAsia="Times New Roman" w:hAnsi="Poppins" w:cs="Poppins"/>
          <w:sz w:val="22"/>
          <w:szCs w:val="22"/>
          <w:lang w:eastAsia="en-AU"/>
        </w:rPr>
        <w:t>ISP.</w:t>
      </w:r>
    </w:p>
    <w:p w14:paraId="157CAB54" w14:textId="77777777" w:rsidR="00FB61A8" w:rsidRPr="00FB61A8" w:rsidRDefault="006102EF" w:rsidP="00FB61A8">
      <w:pPr>
        <w:spacing w:after="160" w:line="240" w:lineRule="auto"/>
        <w:rPr>
          <w:rFonts w:cstheme="minorHAnsi"/>
          <w:sz w:val="22"/>
          <w:szCs w:val="22"/>
        </w:rPr>
      </w:pPr>
      <w:r w:rsidRPr="00FB61A8">
        <w:rPr>
          <w:rFonts w:cstheme="minorHAnsi"/>
          <w:sz w:val="22"/>
          <w:szCs w:val="22"/>
        </w:rPr>
        <w:t>The CAP discussed the risks and benefits of each option, including implications for community engagement, contractor availability, and project optionality.</w:t>
      </w:r>
      <w:r w:rsidR="00D03F51" w:rsidRPr="00FB61A8">
        <w:rPr>
          <w:rFonts w:cstheme="minorHAnsi"/>
          <w:sz w:val="22"/>
          <w:szCs w:val="22"/>
        </w:rPr>
        <w:t xml:space="preserve"> M</w:t>
      </w:r>
      <w:r w:rsidRPr="00FB61A8">
        <w:rPr>
          <w:rFonts w:cstheme="minorHAnsi"/>
          <w:sz w:val="22"/>
          <w:szCs w:val="22"/>
        </w:rPr>
        <w:t>embers emphasised the need for careful and prudent investment until further certainty is available through the PADR and the ISP.</w:t>
      </w:r>
    </w:p>
    <w:p w14:paraId="25FAF42E" w14:textId="4465EE88" w:rsidR="00C050C5" w:rsidRPr="00FB61A8" w:rsidRDefault="00D03F51" w:rsidP="00FB61A8">
      <w:pPr>
        <w:spacing w:after="160" w:line="240" w:lineRule="auto"/>
        <w:rPr>
          <w:rFonts w:cstheme="minorHAnsi"/>
          <w:sz w:val="22"/>
          <w:szCs w:val="22"/>
        </w:rPr>
      </w:pPr>
      <w:r w:rsidRPr="00FB61A8">
        <w:rPr>
          <w:rFonts w:cstheme="minorHAnsi"/>
          <w:sz w:val="22"/>
          <w:szCs w:val="22"/>
        </w:rPr>
        <w:t>D</w:t>
      </w:r>
      <w:r w:rsidR="00C050C5" w:rsidRPr="00FB61A8">
        <w:rPr>
          <w:rFonts w:cstheme="minorHAnsi"/>
          <w:sz w:val="22"/>
          <w:szCs w:val="22"/>
        </w:rPr>
        <w:t>iscussion focused on the interdependencies and risks associated with the NTx project and its major milestones. Members raised questions about what would happen if the CAP could not endorse the next CPA funding stage, and what the consequences would be for the project and related initiatives. There was recognition that significant investment has already been made, and that pausing now could result in lost value and future challenges, especially regarding easements and contractor availability.</w:t>
      </w:r>
    </w:p>
    <w:p w14:paraId="277645C8" w14:textId="31356513" w:rsidR="00C050C5" w:rsidRPr="00FB61A8" w:rsidRDefault="00D03F51" w:rsidP="00FB61A8">
      <w:pPr>
        <w:spacing w:after="160" w:line="240" w:lineRule="auto"/>
        <w:rPr>
          <w:rFonts w:cstheme="minorHAnsi"/>
          <w:sz w:val="22"/>
          <w:szCs w:val="22"/>
        </w:rPr>
      </w:pPr>
      <w:r w:rsidRPr="00FB61A8">
        <w:rPr>
          <w:rFonts w:cstheme="minorHAnsi"/>
          <w:sz w:val="22"/>
          <w:szCs w:val="22"/>
        </w:rPr>
        <w:t xml:space="preserve">Members </w:t>
      </w:r>
      <w:r w:rsidR="00C050C5" w:rsidRPr="00FB61A8">
        <w:rPr>
          <w:rFonts w:cstheme="minorHAnsi"/>
          <w:sz w:val="22"/>
          <w:szCs w:val="22"/>
        </w:rPr>
        <w:t>acknowledged the complexity of forecasting demand and benefits, noting that many assumptions are reasonable</w:t>
      </w:r>
      <w:r w:rsidR="00FB61A8">
        <w:rPr>
          <w:rFonts w:cstheme="minorHAnsi"/>
          <w:sz w:val="22"/>
          <w:szCs w:val="22"/>
        </w:rPr>
        <w:t>,</w:t>
      </w:r>
      <w:r w:rsidR="00C050C5" w:rsidRPr="00FB61A8">
        <w:rPr>
          <w:rFonts w:cstheme="minorHAnsi"/>
          <w:sz w:val="22"/>
          <w:szCs w:val="22"/>
        </w:rPr>
        <w:t xml:space="preserve"> but uncertainties remain—particularly around industrial loads and the impact on residential consumers. Members emphasized the importance of understanding alternative scenarios if major loads do not materialize, and the need for clear articulation of net benefits and risks for different user groups.</w:t>
      </w:r>
    </w:p>
    <w:p w14:paraId="6EE1190C" w14:textId="77777777" w:rsidR="00FB61A8" w:rsidRPr="00FB61A8" w:rsidRDefault="00FB61A8" w:rsidP="00FB61A8">
      <w:pPr>
        <w:spacing w:after="160" w:line="240" w:lineRule="auto"/>
        <w:rPr>
          <w:rFonts w:eastAsia="Times New Roman" w:cstheme="minorHAnsi"/>
          <w:sz w:val="22"/>
          <w:szCs w:val="22"/>
          <w:lang w:eastAsia="en-AU"/>
        </w:rPr>
      </w:pPr>
      <w:r w:rsidRPr="00FB61A8">
        <w:rPr>
          <w:rFonts w:eastAsia="Times New Roman" w:cstheme="minorHAnsi"/>
          <w:b/>
          <w:bCs/>
          <w:sz w:val="22"/>
          <w:szCs w:val="22"/>
          <w:lang w:eastAsia="en-AU"/>
        </w:rPr>
        <w:t>David Tansell</w:t>
      </w:r>
      <w:r w:rsidRPr="00FB61A8">
        <w:rPr>
          <w:rFonts w:eastAsia="Times New Roman" w:cstheme="minorHAnsi"/>
          <w:sz w:val="22"/>
          <w:szCs w:val="22"/>
          <w:lang w:eastAsia="en-AU"/>
        </w:rPr>
        <w:t xml:space="preserve"> invited written feedback from CAP members to help inform ElectraNet’s decision</w:t>
      </w:r>
      <w:r w:rsidRPr="00FB61A8">
        <w:rPr>
          <w:rFonts w:eastAsia="Times New Roman" w:cstheme="minorHAnsi"/>
          <w:sz w:val="22"/>
          <w:szCs w:val="22"/>
          <w:lang w:eastAsia="en-AU"/>
        </w:rPr>
        <w:noBreakHyphen/>
        <w:t>making regarding CPA1b.</w:t>
      </w:r>
    </w:p>
    <w:p w14:paraId="4C8AD0C7" w14:textId="77777777" w:rsidR="00FB61A8" w:rsidRPr="00FB61A8" w:rsidRDefault="00FB61A8" w:rsidP="00FB61A8">
      <w:pPr>
        <w:spacing w:after="160" w:line="240" w:lineRule="auto"/>
        <w:rPr>
          <w:rFonts w:ascii="Poppins" w:eastAsia="Times New Roman" w:hAnsi="Poppins" w:cs="Poppins"/>
          <w:b/>
          <w:bCs/>
          <w:sz w:val="22"/>
          <w:szCs w:val="22"/>
          <w:lang w:eastAsia="en-AU"/>
        </w:rPr>
      </w:pPr>
      <w:r w:rsidRPr="00FB61A8">
        <w:rPr>
          <w:rFonts w:ascii="Poppins" w:eastAsia="Times New Roman" w:hAnsi="Poppins" w:cs="Poppins"/>
          <w:b/>
          <w:bCs/>
          <w:sz w:val="22"/>
          <w:szCs w:val="22"/>
          <w:lang w:eastAsia="en-AU"/>
        </w:rPr>
        <w:t>Action: Alycia to email CAP members seeking feedback on the three NTx funding options being considered by ElectraNet.</w:t>
      </w:r>
    </w:p>
    <w:p w14:paraId="64722114" w14:textId="3D040B25" w:rsidR="00AC1719" w:rsidRPr="00387A7B" w:rsidRDefault="00AC1719" w:rsidP="00FB61A8">
      <w:pPr>
        <w:spacing w:after="160" w:line="240" w:lineRule="auto"/>
        <w:rPr>
          <w:rFonts w:ascii="Poppins" w:eastAsia="Times New Roman" w:hAnsi="Poppins" w:cs="Poppins"/>
          <w:sz w:val="22"/>
          <w:szCs w:val="22"/>
          <w:lang w:eastAsia="en-AU"/>
        </w:rPr>
      </w:pPr>
      <w:r w:rsidRPr="00387A7B">
        <w:rPr>
          <w:rFonts w:ascii="Poppins" w:eastAsia="Times New Roman" w:hAnsi="Poppins" w:cs="Poppins"/>
          <w:b/>
          <w:bCs/>
          <w:sz w:val="22"/>
          <w:szCs w:val="22"/>
          <w:lang w:eastAsia="en-AU"/>
        </w:rPr>
        <w:t xml:space="preserve">Jo Telfer </w:t>
      </w:r>
      <w:r w:rsidRPr="00387A7B">
        <w:rPr>
          <w:rFonts w:ascii="Poppins" w:eastAsia="Times New Roman" w:hAnsi="Poppins" w:cs="Poppins"/>
          <w:sz w:val="22"/>
          <w:szCs w:val="22"/>
          <w:lang w:eastAsia="en-AU"/>
        </w:rPr>
        <w:t>presented a summary of recent community and stakeholder engagement activities, includ</w:t>
      </w:r>
      <w:r w:rsidR="00FB61A8">
        <w:rPr>
          <w:rFonts w:ascii="Poppins" w:eastAsia="Times New Roman" w:hAnsi="Poppins" w:cs="Poppins"/>
          <w:sz w:val="22"/>
          <w:szCs w:val="22"/>
          <w:lang w:eastAsia="en-AU"/>
        </w:rPr>
        <w:t>ing</w:t>
      </w:r>
      <w:r w:rsidRPr="00387A7B">
        <w:rPr>
          <w:rFonts w:ascii="Poppins" w:eastAsia="Times New Roman" w:hAnsi="Poppins" w:cs="Poppins"/>
          <w:sz w:val="22"/>
          <w:szCs w:val="22"/>
          <w:lang w:eastAsia="en-AU"/>
        </w:rPr>
        <w:t xml:space="preserve"> events, field days, forums, surveys, drop-in sessions, pop-ups, interactive map comments, letterbox drops, formal submissions, and emails. The engagement period was guided by advice from the </w:t>
      </w:r>
      <w:r w:rsidR="00FB61A8">
        <w:rPr>
          <w:rFonts w:ascii="Poppins" w:eastAsia="Times New Roman" w:hAnsi="Poppins" w:cs="Poppins"/>
          <w:sz w:val="22"/>
          <w:szCs w:val="22"/>
          <w:lang w:eastAsia="en-AU"/>
        </w:rPr>
        <w:t xml:space="preserve">Australian </w:t>
      </w:r>
      <w:r w:rsidRPr="00387A7B">
        <w:rPr>
          <w:rFonts w:ascii="Poppins" w:eastAsia="Times New Roman" w:hAnsi="Poppins" w:cs="Poppins"/>
          <w:sz w:val="22"/>
          <w:szCs w:val="22"/>
          <w:lang w:eastAsia="en-AU"/>
        </w:rPr>
        <w:t xml:space="preserve">Energy Infrastructure Commissioner, emphasising the need for early and meaningful community involvement in critical project decisions such as route </w:t>
      </w:r>
      <w:r w:rsidR="00FB61A8" w:rsidRPr="00387A7B">
        <w:rPr>
          <w:rFonts w:ascii="Poppins" w:eastAsia="Times New Roman" w:hAnsi="Poppins" w:cs="Poppins"/>
          <w:sz w:val="22"/>
          <w:szCs w:val="22"/>
          <w:lang w:eastAsia="en-AU"/>
        </w:rPr>
        <w:t xml:space="preserve">and corridor </w:t>
      </w:r>
      <w:r w:rsidRPr="00387A7B">
        <w:rPr>
          <w:rFonts w:ascii="Poppins" w:eastAsia="Times New Roman" w:hAnsi="Poppins" w:cs="Poppins"/>
          <w:sz w:val="22"/>
          <w:szCs w:val="22"/>
          <w:lang w:eastAsia="en-AU"/>
        </w:rPr>
        <w:t>selection.</w:t>
      </w:r>
    </w:p>
    <w:p w14:paraId="1463B1A2" w14:textId="77777777" w:rsidR="00AC1719" w:rsidRPr="00387A7B" w:rsidRDefault="00AC1719" w:rsidP="00FB61A8">
      <w:pPr>
        <w:spacing w:after="160" w:line="240" w:lineRule="auto"/>
        <w:rPr>
          <w:rFonts w:ascii="Poppins" w:eastAsia="Times New Roman" w:hAnsi="Poppins" w:cs="Poppins"/>
          <w:sz w:val="22"/>
          <w:szCs w:val="22"/>
          <w:lang w:eastAsia="en-AU"/>
        </w:rPr>
      </w:pPr>
      <w:r w:rsidRPr="00387A7B">
        <w:rPr>
          <w:rFonts w:ascii="Poppins" w:eastAsia="Times New Roman" w:hAnsi="Poppins" w:cs="Poppins"/>
          <w:sz w:val="22"/>
          <w:szCs w:val="22"/>
          <w:lang w:eastAsia="en-AU"/>
        </w:rPr>
        <w:t>Jo reported that while communities want to be engaged early, they also seek a level of certainty in decision-making, which has led to some questions and frustrations. Organised opposition was noted in some communities, with certain drop-in sessions attended by people who had already been briefed about the project by opposition groups before attending.</w:t>
      </w:r>
    </w:p>
    <w:p w14:paraId="0D150C8A" w14:textId="45ED45DF" w:rsidR="00AC1719" w:rsidRPr="00387A7B" w:rsidRDefault="00AC1719" w:rsidP="00FB61A8">
      <w:pPr>
        <w:spacing w:after="160" w:line="240" w:lineRule="auto"/>
        <w:rPr>
          <w:rFonts w:ascii="Poppins" w:eastAsia="Times New Roman" w:hAnsi="Poppins" w:cs="Poppins"/>
          <w:sz w:val="22"/>
          <w:szCs w:val="22"/>
          <w:lang w:eastAsia="en-AU"/>
        </w:rPr>
      </w:pPr>
      <w:r w:rsidRPr="00387A7B">
        <w:rPr>
          <w:rFonts w:ascii="Poppins" w:eastAsia="Times New Roman" w:hAnsi="Poppins" w:cs="Poppins"/>
          <w:sz w:val="22"/>
          <w:szCs w:val="22"/>
          <w:lang w:eastAsia="en-AU"/>
        </w:rPr>
        <w:t xml:space="preserve">Key themes from community feedback included minimising impacts on high-value agricultural land, environmental and biodiversity concerns, avoiding homes and townships, bushfire risks, health and safety, land values, compensation, and heritage. In </w:t>
      </w:r>
      <w:r w:rsidRPr="00387A7B">
        <w:rPr>
          <w:rFonts w:ascii="Poppins" w:eastAsia="Times New Roman" w:hAnsi="Poppins" w:cs="Poppins"/>
          <w:sz w:val="22"/>
          <w:szCs w:val="22"/>
          <w:lang w:eastAsia="en-AU"/>
        </w:rPr>
        <w:lastRenderedPageBreak/>
        <w:t xml:space="preserve">response, investigations </w:t>
      </w:r>
      <w:r w:rsidR="00FB61A8">
        <w:rPr>
          <w:rFonts w:ascii="Poppins" w:eastAsia="Times New Roman" w:hAnsi="Poppins" w:cs="Poppins"/>
          <w:sz w:val="22"/>
          <w:szCs w:val="22"/>
          <w:lang w:eastAsia="en-AU"/>
        </w:rPr>
        <w:t>o</w:t>
      </w:r>
      <w:r w:rsidRPr="00387A7B">
        <w:rPr>
          <w:rFonts w:ascii="Poppins" w:eastAsia="Times New Roman" w:hAnsi="Poppins" w:cs="Poppins"/>
          <w:sz w:val="22"/>
          <w:szCs w:val="22"/>
          <w:lang w:eastAsia="en-AU"/>
        </w:rPr>
        <w:t>n NTx South have shifted to new areas to minimise impacts on cropping land, and engagement continues with landholders, traditional owners, and local businesses.</w:t>
      </w:r>
    </w:p>
    <w:p w14:paraId="7B8EBD61" w14:textId="77777777" w:rsidR="00AC1719" w:rsidRPr="00387A7B" w:rsidRDefault="00AC1719" w:rsidP="00FB61A8">
      <w:pPr>
        <w:spacing w:after="160" w:line="240" w:lineRule="auto"/>
        <w:ind w:left="66"/>
        <w:rPr>
          <w:rFonts w:ascii="Poppins" w:eastAsia="Times New Roman" w:hAnsi="Poppins" w:cs="Poppins"/>
          <w:sz w:val="22"/>
          <w:szCs w:val="22"/>
          <w:lang w:eastAsia="en-AU"/>
        </w:rPr>
      </w:pPr>
      <w:r w:rsidRPr="00387A7B">
        <w:rPr>
          <w:rFonts w:ascii="Poppins" w:eastAsia="Times New Roman" w:hAnsi="Poppins" w:cs="Poppins"/>
          <w:sz w:val="22"/>
          <w:szCs w:val="22"/>
          <w:lang w:eastAsia="en-AU"/>
        </w:rPr>
        <w:t>No decision on a preferred corridor for NTx South will be made until all feasible options are thoroughly investigated, with a decision expected in early to mid-2026.</w:t>
      </w:r>
    </w:p>
    <w:p w14:paraId="67293FFC" w14:textId="341B8236" w:rsidR="001F0D28" w:rsidRDefault="001F0D28" w:rsidP="001F0D28">
      <w:pPr>
        <w:pStyle w:val="Heading2"/>
        <w:numPr>
          <w:ilvl w:val="1"/>
          <w:numId w:val="53"/>
        </w:numPr>
        <w:ind w:left="426"/>
        <w:rPr>
          <w:rFonts w:asciiTheme="minorHAnsi" w:hAnsiTheme="minorHAnsi" w:cstheme="minorHAnsi"/>
          <w:b/>
          <w:bCs/>
        </w:rPr>
      </w:pPr>
      <w:r>
        <w:rPr>
          <w:rFonts w:asciiTheme="minorHAnsi" w:hAnsiTheme="minorHAnsi" w:cstheme="minorHAnsi"/>
          <w:b/>
          <w:bCs/>
        </w:rPr>
        <w:t xml:space="preserve">Other </w:t>
      </w:r>
      <w:r w:rsidR="00C050C5">
        <w:rPr>
          <w:rFonts w:asciiTheme="minorHAnsi" w:hAnsiTheme="minorHAnsi" w:cstheme="minorHAnsi"/>
          <w:b/>
          <w:bCs/>
        </w:rPr>
        <w:t>B</w:t>
      </w:r>
      <w:r>
        <w:rPr>
          <w:rFonts w:asciiTheme="minorHAnsi" w:hAnsiTheme="minorHAnsi" w:cstheme="minorHAnsi"/>
          <w:b/>
          <w:bCs/>
        </w:rPr>
        <w:t xml:space="preserve">usiness &amp; Wrap Up </w:t>
      </w:r>
    </w:p>
    <w:p w14:paraId="48C3156F" w14:textId="28B82EEF" w:rsidR="00C050C5" w:rsidRPr="00C050C5" w:rsidRDefault="00FB61A8" w:rsidP="00C050C5">
      <w:pPr>
        <w:tabs>
          <w:tab w:val="num" w:pos="720"/>
        </w:tabs>
        <w:spacing w:after="160" w:line="240" w:lineRule="auto"/>
        <w:rPr>
          <w:rFonts w:ascii="Poppins" w:hAnsi="Poppins" w:cs="Poppins"/>
          <w:sz w:val="22"/>
          <w:szCs w:val="22"/>
        </w:rPr>
      </w:pPr>
      <w:r>
        <w:rPr>
          <w:rFonts w:ascii="Poppins" w:hAnsi="Poppins" w:cs="Poppins"/>
          <w:sz w:val="22"/>
          <w:szCs w:val="22"/>
        </w:rPr>
        <w:t xml:space="preserve">Possible </w:t>
      </w:r>
      <w:r w:rsidR="00C050C5" w:rsidRPr="00C050C5">
        <w:rPr>
          <w:rFonts w:ascii="Poppins" w:hAnsi="Poppins" w:cs="Poppins"/>
          <w:sz w:val="22"/>
          <w:szCs w:val="22"/>
        </w:rPr>
        <w:t xml:space="preserve">2026 </w:t>
      </w:r>
      <w:r>
        <w:rPr>
          <w:rFonts w:ascii="Poppins" w:hAnsi="Poppins" w:cs="Poppins"/>
          <w:sz w:val="22"/>
          <w:szCs w:val="22"/>
        </w:rPr>
        <w:t>m</w:t>
      </w:r>
      <w:r w:rsidR="00C050C5" w:rsidRPr="00C050C5">
        <w:rPr>
          <w:rFonts w:ascii="Poppins" w:hAnsi="Poppins" w:cs="Poppins"/>
          <w:sz w:val="22"/>
          <w:szCs w:val="22"/>
        </w:rPr>
        <w:t xml:space="preserve">eeting </w:t>
      </w:r>
      <w:r>
        <w:rPr>
          <w:rFonts w:ascii="Poppins" w:hAnsi="Poppins" w:cs="Poppins"/>
          <w:sz w:val="22"/>
          <w:szCs w:val="22"/>
        </w:rPr>
        <w:t>d</w:t>
      </w:r>
      <w:r w:rsidR="00C050C5" w:rsidRPr="00C050C5">
        <w:rPr>
          <w:rFonts w:ascii="Poppins" w:hAnsi="Poppins" w:cs="Poppins"/>
          <w:sz w:val="22"/>
          <w:szCs w:val="22"/>
        </w:rPr>
        <w:t xml:space="preserve">ates </w:t>
      </w:r>
      <w:r w:rsidR="00C050C5">
        <w:rPr>
          <w:rFonts w:ascii="Poppins" w:hAnsi="Poppins" w:cs="Poppins"/>
          <w:sz w:val="22"/>
          <w:szCs w:val="22"/>
        </w:rPr>
        <w:t xml:space="preserve">were </w:t>
      </w:r>
      <w:r>
        <w:rPr>
          <w:rFonts w:ascii="Poppins" w:hAnsi="Poppins" w:cs="Poppins"/>
          <w:sz w:val="22"/>
          <w:szCs w:val="22"/>
        </w:rPr>
        <w:t>discussed</w:t>
      </w:r>
      <w:r w:rsidR="00C050C5">
        <w:rPr>
          <w:rFonts w:ascii="Poppins" w:hAnsi="Poppins" w:cs="Poppins"/>
          <w:sz w:val="22"/>
          <w:szCs w:val="22"/>
        </w:rPr>
        <w:t xml:space="preserve"> and </w:t>
      </w:r>
      <w:r>
        <w:rPr>
          <w:rFonts w:ascii="Poppins" w:hAnsi="Poppins" w:cs="Poppins"/>
          <w:sz w:val="22"/>
          <w:szCs w:val="22"/>
        </w:rPr>
        <w:t xml:space="preserve">several diary conflicts were noted. </w:t>
      </w:r>
    </w:p>
    <w:p w14:paraId="29FCED7D" w14:textId="228736DF" w:rsidR="00C050C5" w:rsidRPr="00C050C5" w:rsidRDefault="00C050C5" w:rsidP="00C050C5">
      <w:pPr>
        <w:spacing w:after="160" w:line="240" w:lineRule="auto"/>
        <w:rPr>
          <w:rFonts w:ascii="Poppins" w:hAnsi="Poppins" w:cs="Poppins"/>
          <w:b/>
          <w:bCs/>
          <w:sz w:val="22"/>
          <w:szCs w:val="22"/>
        </w:rPr>
      </w:pPr>
      <w:r w:rsidRPr="00C050C5">
        <w:rPr>
          <w:rFonts w:ascii="Poppins" w:hAnsi="Poppins" w:cs="Poppins"/>
          <w:b/>
          <w:bCs/>
          <w:sz w:val="22"/>
          <w:szCs w:val="22"/>
        </w:rPr>
        <w:t xml:space="preserve">Action: Alycia to </w:t>
      </w:r>
      <w:r w:rsidR="00FB61A8">
        <w:rPr>
          <w:rFonts w:ascii="Poppins" w:hAnsi="Poppins" w:cs="Poppins"/>
          <w:b/>
          <w:bCs/>
          <w:sz w:val="22"/>
          <w:szCs w:val="22"/>
        </w:rPr>
        <w:t>send</w:t>
      </w:r>
      <w:r w:rsidRPr="00C050C5">
        <w:rPr>
          <w:rFonts w:ascii="Poppins" w:hAnsi="Poppins" w:cs="Poppins"/>
          <w:b/>
          <w:bCs/>
          <w:sz w:val="22"/>
          <w:szCs w:val="22"/>
        </w:rPr>
        <w:t xml:space="preserve"> alternative meeting dates to CAP members and updated calendar requests.</w:t>
      </w:r>
    </w:p>
    <w:p w14:paraId="672FA242" w14:textId="69E599CF" w:rsidR="00C050C5" w:rsidRPr="00C050C5" w:rsidRDefault="00C050C5" w:rsidP="007473B8">
      <w:pPr>
        <w:spacing w:after="160" w:line="240" w:lineRule="auto"/>
        <w:rPr>
          <w:rFonts w:ascii="Poppins" w:hAnsi="Poppins" w:cs="Poppins"/>
          <w:sz w:val="22"/>
          <w:szCs w:val="22"/>
        </w:rPr>
      </w:pPr>
      <w:r w:rsidRPr="00C050C5">
        <w:rPr>
          <w:rFonts w:ascii="Poppins" w:hAnsi="Poppins" w:cs="Poppins"/>
          <w:sz w:val="22"/>
          <w:szCs w:val="22"/>
        </w:rPr>
        <w:t>The group discussed improv</w:t>
      </w:r>
      <w:r w:rsidR="007473B8">
        <w:rPr>
          <w:rFonts w:ascii="Poppins" w:hAnsi="Poppins" w:cs="Poppins"/>
          <w:sz w:val="22"/>
          <w:szCs w:val="22"/>
        </w:rPr>
        <w:t xml:space="preserve">ements to the </w:t>
      </w:r>
      <w:r w:rsidRPr="00C050C5">
        <w:rPr>
          <w:rFonts w:ascii="Poppins" w:hAnsi="Poppins" w:cs="Poppins"/>
          <w:sz w:val="22"/>
          <w:szCs w:val="22"/>
        </w:rPr>
        <w:t>agenda-setting process, suggesting more collaboration and the possibility of sending out draft agendas in advance for CAP members to provide input or suggest additional items.</w:t>
      </w:r>
    </w:p>
    <w:p w14:paraId="2970B39E" w14:textId="7173467E" w:rsidR="00C050C5" w:rsidRPr="00C050C5" w:rsidRDefault="00C050C5" w:rsidP="007473B8">
      <w:pPr>
        <w:spacing w:after="160" w:line="240" w:lineRule="auto"/>
        <w:rPr>
          <w:rFonts w:ascii="Poppins" w:hAnsi="Poppins" w:cs="Poppins"/>
          <w:sz w:val="22"/>
          <w:szCs w:val="22"/>
        </w:rPr>
      </w:pPr>
      <w:r w:rsidRPr="00C050C5">
        <w:rPr>
          <w:rFonts w:ascii="Poppins" w:hAnsi="Poppins" w:cs="Poppins"/>
          <w:sz w:val="22"/>
          <w:szCs w:val="22"/>
        </w:rPr>
        <w:t>A</w:t>
      </w:r>
      <w:r w:rsidR="00FB61A8">
        <w:rPr>
          <w:rFonts w:ascii="Poppins" w:hAnsi="Poppins" w:cs="Poppins"/>
          <w:sz w:val="22"/>
          <w:szCs w:val="22"/>
        </w:rPr>
        <w:t>n</w:t>
      </w:r>
      <w:r w:rsidRPr="00C050C5">
        <w:rPr>
          <w:rFonts w:ascii="Poppins" w:hAnsi="Poppins" w:cs="Poppins"/>
          <w:sz w:val="22"/>
          <w:szCs w:val="22"/>
        </w:rPr>
        <w:t xml:space="preserve"> 18</w:t>
      </w:r>
      <w:r w:rsidR="007473B8">
        <w:rPr>
          <w:rFonts w:ascii="Poppins" w:hAnsi="Poppins" w:cs="Poppins"/>
          <w:sz w:val="22"/>
          <w:szCs w:val="22"/>
        </w:rPr>
        <w:t>-</w:t>
      </w:r>
      <w:r w:rsidRPr="00C050C5">
        <w:rPr>
          <w:rFonts w:ascii="Poppins" w:hAnsi="Poppins" w:cs="Poppins"/>
          <w:sz w:val="22"/>
          <w:szCs w:val="22"/>
        </w:rPr>
        <w:t xml:space="preserve">month </w:t>
      </w:r>
      <w:r w:rsidR="007473B8">
        <w:rPr>
          <w:rFonts w:ascii="Poppins" w:hAnsi="Poppins" w:cs="Poppins"/>
          <w:sz w:val="22"/>
          <w:szCs w:val="22"/>
        </w:rPr>
        <w:t xml:space="preserve">engagement program </w:t>
      </w:r>
      <w:r w:rsidRPr="00C050C5">
        <w:rPr>
          <w:rFonts w:ascii="Poppins" w:hAnsi="Poppins" w:cs="Poppins"/>
          <w:sz w:val="22"/>
          <w:szCs w:val="22"/>
        </w:rPr>
        <w:t xml:space="preserve">was discussed, and CAP members </w:t>
      </w:r>
      <w:r w:rsidR="007473B8">
        <w:rPr>
          <w:rFonts w:ascii="Poppins" w:hAnsi="Poppins" w:cs="Poppins"/>
          <w:sz w:val="22"/>
          <w:szCs w:val="22"/>
        </w:rPr>
        <w:t xml:space="preserve">indicated </w:t>
      </w:r>
      <w:r w:rsidRPr="00C050C5">
        <w:rPr>
          <w:rFonts w:ascii="Poppins" w:hAnsi="Poppins" w:cs="Poppins"/>
          <w:sz w:val="22"/>
          <w:szCs w:val="22"/>
        </w:rPr>
        <w:t>interest in suggesti</w:t>
      </w:r>
      <w:r w:rsidR="007473B8">
        <w:rPr>
          <w:rFonts w:ascii="Poppins" w:hAnsi="Poppins" w:cs="Poppins"/>
          <w:sz w:val="22"/>
          <w:szCs w:val="22"/>
        </w:rPr>
        <w:t xml:space="preserve">ng </w:t>
      </w:r>
      <w:r w:rsidRPr="00C050C5">
        <w:rPr>
          <w:rFonts w:ascii="Poppins" w:hAnsi="Poppins" w:cs="Poppins"/>
          <w:sz w:val="22"/>
          <w:szCs w:val="22"/>
        </w:rPr>
        <w:t>agenda items.</w:t>
      </w:r>
    </w:p>
    <w:p w14:paraId="1E0FDC95" w14:textId="16C5D6A1" w:rsidR="00893D3A" w:rsidRPr="001F0D28" w:rsidRDefault="00893D3A" w:rsidP="001F0D28">
      <w:pPr>
        <w:spacing w:after="160" w:line="240" w:lineRule="auto"/>
        <w:rPr>
          <w:rFonts w:ascii="Poppins" w:hAnsi="Poppins" w:cs="Poppins"/>
          <w:sz w:val="22"/>
          <w:szCs w:val="22"/>
        </w:rPr>
      </w:pPr>
    </w:p>
    <w:p w14:paraId="46D70502" w14:textId="7086845C" w:rsidR="00893D3A" w:rsidRPr="00EF6BD2" w:rsidRDefault="00893D3A" w:rsidP="0091295F">
      <w:pPr>
        <w:spacing w:after="160" w:line="240" w:lineRule="auto"/>
        <w:rPr>
          <w:rFonts w:cstheme="minorHAnsi"/>
          <w:sz w:val="22"/>
          <w:szCs w:val="22"/>
        </w:rPr>
      </w:pPr>
    </w:p>
    <w:p w14:paraId="2402479F" w14:textId="77777777" w:rsidR="00FB61A8" w:rsidRDefault="00FB61A8">
      <w:r>
        <w:br w:type="page"/>
      </w:r>
    </w:p>
    <w:p w14:paraId="168B7BF5" w14:textId="4115FAD8" w:rsidR="007473B8" w:rsidRPr="007473B8" w:rsidRDefault="007473B8">
      <w:pPr>
        <w:rPr>
          <w:rFonts w:eastAsiaTheme="majorEastAsia" w:cstheme="minorHAnsi"/>
          <w:b/>
          <w:bCs/>
          <w:color w:val="D5C8B6" w:themeColor="accent3"/>
          <w:kern w:val="32"/>
          <w:sz w:val="28"/>
          <w:szCs w:val="28"/>
        </w:rPr>
      </w:pPr>
      <w:r>
        <w:rPr>
          <w:rFonts w:eastAsiaTheme="majorEastAsia"/>
          <w:b/>
          <w:bCs/>
          <w:color w:val="D5C8B6" w:themeColor="accent3"/>
          <w:kern w:val="32"/>
          <w:sz w:val="28"/>
          <w:szCs w:val="28"/>
        </w:rPr>
        <w:lastRenderedPageBreak/>
        <w:t xml:space="preserve">Action Items </w:t>
      </w:r>
    </w:p>
    <w:tbl>
      <w:tblPr>
        <w:tblStyle w:val="TableElectraNet"/>
        <w:tblpPr w:leftFromText="180" w:rightFromText="180" w:vertAnchor="text" w:horzAnchor="margin" w:tblpY="183"/>
        <w:tblW w:w="10106" w:type="dxa"/>
        <w:tblLook w:val="04A0" w:firstRow="1" w:lastRow="0" w:firstColumn="1" w:lastColumn="0" w:noHBand="0" w:noVBand="1"/>
      </w:tblPr>
      <w:tblGrid>
        <w:gridCol w:w="851"/>
        <w:gridCol w:w="7045"/>
        <w:gridCol w:w="2210"/>
      </w:tblGrid>
      <w:tr w:rsidR="00587D1B" w:rsidRPr="007473B8" w14:paraId="52ADCA52" w14:textId="77777777" w:rsidTr="00E31CD2">
        <w:trPr>
          <w:cnfStyle w:val="100000000000" w:firstRow="1" w:lastRow="0" w:firstColumn="0" w:lastColumn="0" w:oddVBand="0" w:evenVBand="0" w:oddHBand="0" w:evenHBand="0" w:firstRowFirstColumn="0" w:firstRowLastColumn="0" w:lastRowFirstColumn="0" w:lastRowLastColumn="0"/>
          <w:trHeight w:val="341"/>
        </w:trPr>
        <w:tc>
          <w:tcPr>
            <w:tcW w:w="851" w:type="dxa"/>
          </w:tcPr>
          <w:p w14:paraId="50CFC994" w14:textId="09F8F5AA" w:rsidR="00024723" w:rsidRPr="007473B8" w:rsidRDefault="00024723" w:rsidP="007473B8">
            <w:pPr>
              <w:spacing w:before="0" w:after="0" w:line="240" w:lineRule="auto"/>
              <w:rPr>
                <w:rFonts w:asciiTheme="minorHAnsi" w:hAnsiTheme="minorHAnsi" w:cstheme="minorHAnsi"/>
                <w:b/>
                <w:bCs/>
                <w:sz w:val="22"/>
                <w:szCs w:val="22"/>
              </w:rPr>
            </w:pPr>
            <w:r w:rsidRPr="007473B8">
              <w:rPr>
                <w:rFonts w:asciiTheme="minorHAnsi" w:hAnsiTheme="minorHAnsi" w:cstheme="minorHAnsi"/>
                <w:b/>
                <w:bCs/>
                <w:sz w:val="22"/>
                <w:szCs w:val="22"/>
              </w:rPr>
              <w:t>No</w:t>
            </w:r>
          </w:p>
        </w:tc>
        <w:tc>
          <w:tcPr>
            <w:tcW w:w="7045" w:type="dxa"/>
          </w:tcPr>
          <w:p w14:paraId="4E75069C" w14:textId="3D2B9EFA" w:rsidR="00024723" w:rsidRPr="007473B8" w:rsidRDefault="00024723" w:rsidP="007473B8">
            <w:pPr>
              <w:spacing w:before="0" w:after="0" w:line="240" w:lineRule="auto"/>
              <w:rPr>
                <w:rFonts w:asciiTheme="minorHAnsi" w:hAnsiTheme="minorHAnsi" w:cstheme="minorHAnsi"/>
                <w:b/>
                <w:bCs/>
                <w:sz w:val="22"/>
                <w:szCs w:val="22"/>
              </w:rPr>
            </w:pPr>
            <w:r w:rsidRPr="007473B8">
              <w:rPr>
                <w:rFonts w:asciiTheme="minorHAnsi" w:hAnsiTheme="minorHAnsi" w:cstheme="minorHAnsi"/>
                <w:b/>
                <w:bCs/>
                <w:sz w:val="22"/>
                <w:szCs w:val="22"/>
              </w:rPr>
              <w:t xml:space="preserve">Action </w:t>
            </w:r>
          </w:p>
        </w:tc>
        <w:tc>
          <w:tcPr>
            <w:tcW w:w="2210" w:type="dxa"/>
          </w:tcPr>
          <w:p w14:paraId="7A8B7253" w14:textId="77777777" w:rsidR="00024723" w:rsidRPr="007473B8" w:rsidRDefault="00024723" w:rsidP="007473B8">
            <w:pPr>
              <w:spacing w:before="0" w:after="0" w:line="240" w:lineRule="auto"/>
              <w:rPr>
                <w:rFonts w:asciiTheme="minorHAnsi" w:hAnsiTheme="minorHAnsi" w:cstheme="minorHAnsi"/>
                <w:b/>
                <w:bCs/>
                <w:sz w:val="22"/>
                <w:szCs w:val="22"/>
              </w:rPr>
            </w:pPr>
            <w:r w:rsidRPr="007473B8">
              <w:rPr>
                <w:rFonts w:asciiTheme="minorHAnsi" w:hAnsiTheme="minorHAnsi" w:cstheme="minorHAnsi"/>
                <w:b/>
                <w:bCs/>
                <w:sz w:val="22"/>
                <w:szCs w:val="22"/>
              </w:rPr>
              <w:t xml:space="preserve">Responsible </w:t>
            </w:r>
          </w:p>
        </w:tc>
      </w:tr>
      <w:tr w:rsidR="001B0D09" w:rsidRPr="00EF6BD2" w14:paraId="0CD6773B" w14:textId="77777777" w:rsidTr="001B0D09">
        <w:trPr>
          <w:cnfStyle w:val="000000100000" w:firstRow="0" w:lastRow="0" w:firstColumn="0" w:lastColumn="0" w:oddVBand="0" w:evenVBand="0" w:oddHBand="1" w:evenHBand="0" w:firstRowFirstColumn="0" w:firstRowLastColumn="0" w:lastRowFirstColumn="0" w:lastRowLastColumn="0"/>
          <w:trHeight w:val="471"/>
        </w:trPr>
        <w:tc>
          <w:tcPr>
            <w:tcW w:w="851" w:type="dxa"/>
          </w:tcPr>
          <w:p w14:paraId="7037827A" w14:textId="4D04C396" w:rsidR="00024723" w:rsidRPr="00EF6BD2" w:rsidRDefault="007D2E50" w:rsidP="007473B8">
            <w:pPr>
              <w:spacing w:before="80" w:after="80" w:line="240" w:lineRule="auto"/>
              <w:rPr>
                <w:rFonts w:cstheme="minorHAnsi"/>
                <w:color w:val="000000" w:themeColor="text1"/>
                <w:sz w:val="22"/>
                <w:szCs w:val="22"/>
              </w:rPr>
            </w:pPr>
            <w:r w:rsidRPr="00EF6BD2">
              <w:rPr>
                <w:rFonts w:cstheme="minorHAnsi"/>
                <w:color w:val="000000" w:themeColor="text1"/>
                <w:sz w:val="22"/>
                <w:szCs w:val="22"/>
              </w:rPr>
              <w:t xml:space="preserve">1. </w:t>
            </w:r>
          </w:p>
        </w:tc>
        <w:tc>
          <w:tcPr>
            <w:tcW w:w="7045" w:type="dxa"/>
          </w:tcPr>
          <w:p w14:paraId="1C958898" w14:textId="25DF02FD" w:rsidR="00024723" w:rsidRPr="00E31CD2" w:rsidRDefault="007473B8" w:rsidP="007473B8">
            <w:pPr>
              <w:spacing w:before="80" w:after="80" w:line="276" w:lineRule="auto"/>
              <w:rPr>
                <w:rFonts w:cstheme="minorHAnsi"/>
                <w:color w:val="000000" w:themeColor="text1"/>
                <w:sz w:val="21"/>
                <w:szCs w:val="21"/>
              </w:rPr>
            </w:pPr>
            <w:r w:rsidRPr="007473B8">
              <w:rPr>
                <w:rFonts w:cstheme="minorHAnsi"/>
                <w:sz w:val="21"/>
                <w:szCs w:val="21"/>
              </w:rPr>
              <w:t xml:space="preserve">Greg McCarron to email ElectraNet the transmission charging question received from a community </w:t>
            </w:r>
            <w:r>
              <w:rPr>
                <w:rFonts w:cstheme="minorHAnsi"/>
                <w:sz w:val="21"/>
                <w:szCs w:val="21"/>
              </w:rPr>
              <w:t xml:space="preserve">member for </w:t>
            </w:r>
            <w:r w:rsidRPr="007473B8">
              <w:rPr>
                <w:rFonts w:cstheme="minorHAnsi"/>
                <w:sz w:val="21"/>
                <w:szCs w:val="21"/>
              </w:rPr>
              <w:t>response</w:t>
            </w:r>
          </w:p>
        </w:tc>
        <w:tc>
          <w:tcPr>
            <w:tcW w:w="2210" w:type="dxa"/>
          </w:tcPr>
          <w:p w14:paraId="2FA5F5E1" w14:textId="51BE16BD" w:rsidR="00024723" w:rsidRPr="00EF6BD2" w:rsidRDefault="00964069" w:rsidP="007473B8">
            <w:pPr>
              <w:spacing w:before="80" w:after="80" w:line="240" w:lineRule="auto"/>
              <w:rPr>
                <w:rFonts w:cstheme="minorHAnsi"/>
                <w:color w:val="000000" w:themeColor="text1"/>
                <w:sz w:val="22"/>
                <w:szCs w:val="22"/>
              </w:rPr>
            </w:pPr>
            <w:r>
              <w:rPr>
                <w:rFonts w:cstheme="minorHAnsi"/>
                <w:color w:val="000000" w:themeColor="text1"/>
                <w:sz w:val="22"/>
                <w:szCs w:val="22"/>
              </w:rPr>
              <w:t>GM</w:t>
            </w:r>
            <w:r w:rsidR="00E31CD2">
              <w:rPr>
                <w:rFonts w:cstheme="minorHAnsi"/>
                <w:color w:val="000000" w:themeColor="text1"/>
                <w:sz w:val="22"/>
                <w:szCs w:val="22"/>
              </w:rPr>
              <w:t>/JT</w:t>
            </w:r>
          </w:p>
        </w:tc>
      </w:tr>
      <w:tr w:rsidR="007473B8" w:rsidRPr="00EF6BD2" w14:paraId="2A731736" w14:textId="77777777" w:rsidTr="001B0D09">
        <w:trPr>
          <w:cnfStyle w:val="000000010000" w:firstRow="0" w:lastRow="0" w:firstColumn="0" w:lastColumn="0" w:oddVBand="0" w:evenVBand="0" w:oddHBand="0" w:evenHBand="1" w:firstRowFirstColumn="0" w:firstRowLastColumn="0" w:lastRowFirstColumn="0" w:lastRowLastColumn="0"/>
          <w:trHeight w:val="471"/>
        </w:trPr>
        <w:tc>
          <w:tcPr>
            <w:tcW w:w="851" w:type="dxa"/>
          </w:tcPr>
          <w:p w14:paraId="31D9D689" w14:textId="78036670" w:rsidR="007473B8" w:rsidRPr="00EF6BD2" w:rsidRDefault="007473B8" w:rsidP="007473B8">
            <w:pPr>
              <w:spacing w:before="80" w:after="80" w:line="240" w:lineRule="auto"/>
              <w:rPr>
                <w:rFonts w:cstheme="minorHAnsi"/>
                <w:color w:val="000000" w:themeColor="text1"/>
                <w:sz w:val="22"/>
                <w:szCs w:val="22"/>
              </w:rPr>
            </w:pPr>
            <w:r w:rsidRPr="00001999">
              <w:rPr>
                <w:rFonts w:cstheme="minorHAnsi"/>
                <w:sz w:val="21"/>
                <w:szCs w:val="21"/>
              </w:rPr>
              <w:t>2.</w:t>
            </w:r>
          </w:p>
        </w:tc>
        <w:tc>
          <w:tcPr>
            <w:tcW w:w="7045" w:type="dxa"/>
          </w:tcPr>
          <w:p w14:paraId="0D080FF4" w14:textId="4735A436" w:rsidR="007473B8" w:rsidRPr="007473B8" w:rsidRDefault="007473B8" w:rsidP="007473B8">
            <w:pPr>
              <w:spacing w:before="80" w:after="80" w:line="276" w:lineRule="auto"/>
              <w:rPr>
                <w:rFonts w:cstheme="minorHAnsi"/>
                <w:sz w:val="21"/>
                <w:szCs w:val="21"/>
              </w:rPr>
            </w:pPr>
            <w:r w:rsidRPr="007473B8">
              <w:rPr>
                <w:rFonts w:cstheme="minorHAnsi"/>
                <w:sz w:val="21"/>
                <w:szCs w:val="21"/>
              </w:rPr>
              <w:t xml:space="preserve">Leanne and Simon Appleby to consider CAP membership and </w:t>
            </w:r>
            <w:r>
              <w:rPr>
                <w:rFonts w:cstheme="minorHAnsi"/>
                <w:sz w:val="21"/>
                <w:szCs w:val="21"/>
              </w:rPr>
              <w:br/>
            </w:r>
            <w:r w:rsidRPr="007473B8">
              <w:rPr>
                <w:rFonts w:cstheme="minorHAnsi"/>
                <w:sz w:val="21"/>
                <w:szCs w:val="21"/>
              </w:rPr>
              <w:t>any gaps.</w:t>
            </w:r>
          </w:p>
        </w:tc>
        <w:tc>
          <w:tcPr>
            <w:tcW w:w="2210" w:type="dxa"/>
          </w:tcPr>
          <w:p w14:paraId="0958B060" w14:textId="2135C3DF" w:rsidR="007473B8" w:rsidRDefault="007473B8" w:rsidP="007473B8">
            <w:pPr>
              <w:spacing w:before="80" w:after="80" w:line="240" w:lineRule="auto"/>
              <w:rPr>
                <w:rFonts w:cstheme="minorHAnsi"/>
                <w:color w:val="000000" w:themeColor="text1"/>
                <w:sz w:val="22"/>
                <w:szCs w:val="22"/>
              </w:rPr>
            </w:pPr>
            <w:r>
              <w:rPr>
                <w:rFonts w:cstheme="minorHAnsi"/>
                <w:color w:val="000000" w:themeColor="text1"/>
                <w:sz w:val="22"/>
                <w:szCs w:val="22"/>
              </w:rPr>
              <w:t>LM/SA</w:t>
            </w:r>
          </w:p>
        </w:tc>
      </w:tr>
      <w:tr w:rsidR="007473B8" w:rsidRPr="00EF6BD2" w14:paraId="77AF0DC2" w14:textId="77777777" w:rsidTr="00E31CD2">
        <w:trPr>
          <w:cnfStyle w:val="000000100000" w:firstRow="0" w:lastRow="0" w:firstColumn="0" w:lastColumn="0" w:oddVBand="0" w:evenVBand="0" w:oddHBand="1" w:evenHBand="0" w:firstRowFirstColumn="0" w:firstRowLastColumn="0" w:lastRowFirstColumn="0" w:lastRowLastColumn="0"/>
          <w:trHeight w:val="1184"/>
        </w:trPr>
        <w:tc>
          <w:tcPr>
            <w:tcW w:w="851" w:type="dxa"/>
          </w:tcPr>
          <w:p w14:paraId="6116D1CF" w14:textId="36C0E520" w:rsidR="007473B8" w:rsidRPr="00001999" w:rsidRDefault="007473B8" w:rsidP="007473B8">
            <w:pPr>
              <w:spacing w:before="80" w:after="80" w:line="276" w:lineRule="auto"/>
              <w:rPr>
                <w:rFonts w:cstheme="minorHAnsi"/>
                <w:sz w:val="21"/>
                <w:szCs w:val="21"/>
              </w:rPr>
            </w:pPr>
            <w:r>
              <w:rPr>
                <w:rFonts w:cstheme="minorHAnsi"/>
                <w:color w:val="000000" w:themeColor="text1"/>
                <w:sz w:val="22"/>
                <w:szCs w:val="22"/>
              </w:rPr>
              <w:t>3.</w:t>
            </w:r>
          </w:p>
        </w:tc>
        <w:tc>
          <w:tcPr>
            <w:tcW w:w="7045" w:type="dxa"/>
          </w:tcPr>
          <w:p w14:paraId="437BD22F" w14:textId="5814511D" w:rsidR="007473B8" w:rsidRPr="00E31CD2" w:rsidRDefault="007473B8" w:rsidP="007473B8">
            <w:pPr>
              <w:spacing w:before="80" w:after="80" w:line="276" w:lineRule="auto"/>
              <w:rPr>
                <w:rFonts w:cstheme="minorHAnsi"/>
                <w:sz w:val="21"/>
                <w:szCs w:val="21"/>
              </w:rPr>
            </w:pPr>
            <w:r w:rsidRPr="007473B8">
              <w:rPr>
                <w:rFonts w:cstheme="minorHAnsi"/>
                <w:sz w:val="21"/>
                <w:szCs w:val="21"/>
              </w:rPr>
              <w:t xml:space="preserve">Demand Forecasting Working Group to undertake the independent demand forecast review and share any findings or implications with </w:t>
            </w:r>
            <w:r>
              <w:rPr>
                <w:rFonts w:cstheme="minorHAnsi"/>
                <w:sz w:val="21"/>
                <w:szCs w:val="21"/>
              </w:rPr>
              <w:t>ElectraNet.</w:t>
            </w:r>
          </w:p>
        </w:tc>
        <w:tc>
          <w:tcPr>
            <w:tcW w:w="2210" w:type="dxa"/>
          </w:tcPr>
          <w:p w14:paraId="003B22B4" w14:textId="32ECA196" w:rsidR="007473B8" w:rsidRPr="00EF6BD2" w:rsidRDefault="007473B8" w:rsidP="007473B8">
            <w:pPr>
              <w:spacing w:before="80" w:after="80" w:line="240" w:lineRule="auto"/>
              <w:rPr>
                <w:rFonts w:cstheme="minorHAnsi"/>
                <w:color w:val="000000" w:themeColor="text1"/>
                <w:sz w:val="22"/>
                <w:szCs w:val="22"/>
              </w:rPr>
            </w:pPr>
            <w:r>
              <w:rPr>
                <w:rFonts w:cstheme="minorHAnsi"/>
                <w:color w:val="000000" w:themeColor="text1"/>
                <w:sz w:val="22"/>
                <w:szCs w:val="22"/>
              </w:rPr>
              <w:t>AR</w:t>
            </w:r>
          </w:p>
        </w:tc>
      </w:tr>
      <w:tr w:rsidR="007473B8" w:rsidRPr="00EF6BD2" w14:paraId="79A873D7" w14:textId="77777777" w:rsidTr="001B0D09">
        <w:trPr>
          <w:cnfStyle w:val="000000010000" w:firstRow="0" w:lastRow="0" w:firstColumn="0" w:lastColumn="0" w:oddVBand="0" w:evenVBand="0" w:oddHBand="0" w:evenHBand="1" w:firstRowFirstColumn="0" w:firstRowLastColumn="0" w:lastRowFirstColumn="0" w:lastRowLastColumn="0"/>
          <w:trHeight w:val="359"/>
        </w:trPr>
        <w:tc>
          <w:tcPr>
            <w:tcW w:w="851" w:type="dxa"/>
          </w:tcPr>
          <w:p w14:paraId="1AA8D8A5" w14:textId="50D80169" w:rsidR="007473B8" w:rsidRPr="00EF6BD2" w:rsidRDefault="007473B8" w:rsidP="007473B8">
            <w:pPr>
              <w:pStyle w:val="Heading1Numbered"/>
              <w:numPr>
                <w:ilvl w:val="0"/>
                <w:numId w:val="0"/>
              </w:numPr>
              <w:spacing w:before="80" w:after="80"/>
              <w:ind w:left="340" w:hanging="340"/>
              <w:rPr>
                <w:rFonts w:asciiTheme="minorHAnsi" w:hAnsiTheme="minorHAnsi" w:cstheme="minorHAnsi"/>
                <w:color w:val="000000" w:themeColor="text1"/>
                <w:sz w:val="22"/>
                <w:szCs w:val="22"/>
              </w:rPr>
            </w:pPr>
            <w:r>
              <w:rPr>
                <w:rFonts w:asciiTheme="minorHAnsi" w:hAnsiTheme="minorHAnsi" w:cstheme="minorHAnsi"/>
                <w:color w:val="000000" w:themeColor="text2"/>
                <w:sz w:val="22"/>
                <w:szCs w:val="22"/>
              </w:rPr>
              <w:t>4.</w:t>
            </w:r>
          </w:p>
        </w:tc>
        <w:tc>
          <w:tcPr>
            <w:tcW w:w="7045" w:type="dxa"/>
          </w:tcPr>
          <w:p w14:paraId="0BA3A782" w14:textId="6333B1A8" w:rsidR="007473B8" w:rsidRDefault="007473B8" w:rsidP="007473B8">
            <w:pPr>
              <w:spacing w:before="80" w:after="80" w:line="240" w:lineRule="auto"/>
              <w:rPr>
                <w:rFonts w:cstheme="minorHAnsi"/>
                <w:sz w:val="21"/>
                <w:szCs w:val="21"/>
              </w:rPr>
            </w:pPr>
            <w:r w:rsidRPr="007473B8">
              <w:rPr>
                <w:rFonts w:cstheme="minorHAnsi"/>
                <w:sz w:val="21"/>
                <w:szCs w:val="21"/>
              </w:rPr>
              <w:t>Bec Malhotra to</w:t>
            </w:r>
            <w:r>
              <w:rPr>
                <w:rFonts w:cstheme="minorHAnsi"/>
                <w:sz w:val="21"/>
                <w:szCs w:val="21"/>
              </w:rPr>
              <w:t>:</w:t>
            </w:r>
          </w:p>
          <w:p w14:paraId="69A0150E" w14:textId="77777777" w:rsidR="007473B8" w:rsidRDefault="007473B8" w:rsidP="007473B8">
            <w:pPr>
              <w:pStyle w:val="ListParagraph"/>
              <w:numPr>
                <w:ilvl w:val="0"/>
                <w:numId w:val="78"/>
              </w:numPr>
              <w:spacing w:before="80" w:after="80" w:line="240" w:lineRule="auto"/>
              <w:rPr>
                <w:rFonts w:cstheme="minorHAnsi"/>
                <w:sz w:val="21"/>
                <w:szCs w:val="21"/>
              </w:rPr>
            </w:pPr>
            <w:r w:rsidRPr="007473B8">
              <w:rPr>
                <w:rFonts w:cstheme="minorHAnsi"/>
                <w:sz w:val="21"/>
                <w:szCs w:val="21"/>
              </w:rPr>
              <w:t>confirm the RRRG workshop scheduled for January covering the 2026 engagement schedule, revised engagement approach and resourcing.</w:t>
            </w:r>
          </w:p>
          <w:p w14:paraId="6304E2DC" w14:textId="77777777" w:rsidR="007473B8" w:rsidRDefault="007473B8" w:rsidP="007473B8">
            <w:pPr>
              <w:pStyle w:val="ListParagraph"/>
              <w:numPr>
                <w:ilvl w:val="0"/>
                <w:numId w:val="78"/>
              </w:numPr>
              <w:spacing w:before="80" w:after="80" w:line="240" w:lineRule="auto"/>
              <w:rPr>
                <w:rFonts w:cstheme="minorHAnsi"/>
                <w:sz w:val="21"/>
                <w:szCs w:val="21"/>
              </w:rPr>
            </w:pPr>
            <w:r w:rsidRPr="007473B8">
              <w:rPr>
                <w:rFonts w:cstheme="minorHAnsi"/>
                <w:sz w:val="21"/>
                <w:szCs w:val="21"/>
              </w:rPr>
              <w:t>circulate the proposed RRRG ToR changes and engagement responses to CAP members for feedback at the January meeting</w:t>
            </w:r>
            <w:r>
              <w:rPr>
                <w:rFonts w:cstheme="minorHAnsi"/>
                <w:sz w:val="21"/>
                <w:szCs w:val="21"/>
              </w:rPr>
              <w:t>.</w:t>
            </w:r>
          </w:p>
          <w:p w14:paraId="5A8BECFC" w14:textId="1BECB5BD" w:rsidR="007473B8" w:rsidRPr="007473B8" w:rsidRDefault="007473B8" w:rsidP="007473B8">
            <w:pPr>
              <w:pStyle w:val="ListParagraph"/>
              <w:numPr>
                <w:ilvl w:val="0"/>
                <w:numId w:val="78"/>
              </w:numPr>
              <w:spacing w:before="80" w:after="80" w:line="240" w:lineRule="auto"/>
              <w:rPr>
                <w:rFonts w:cstheme="minorHAnsi"/>
                <w:sz w:val="21"/>
                <w:szCs w:val="21"/>
              </w:rPr>
            </w:pPr>
            <w:r w:rsidRPr="007473B8">
              <w:rPr>
                <w:rFonts w:cstheme="minorHAnsi"/>
                <w:sz w:val="21"/>
                <w:szCs w:val="21"/>
              </w:rPr>
              <w:t>share the Business Narrative with the RRRG for feedback and discussion.</w:t>
            </w:r>
          </w:p>
        </w:tc>
        <w:tc>
          <w:tcPr>
            <w:tcW w:w="2210" w:type="dxa"/>
          </w:tcPr>
          <w:p w14:paraId="450F5E7B" w14:textId="00511B1C" w:rsidR="007473B8" w:rsidRPr="00EF6BD2" w:rsidRDefault="007473B8" w:rsidP="007473B8">
            <w:pPr>
              <w:spacing w:before="80" w:after="80" w:line="240" w:lineRule="auto"/>
              <w:rPr>
                <w:rFonts w:cstheme="minorHAnsi"/>
                <w:color w:val="000000" w:themeColor="text1"/>
                <w:sz w:val="22"/>
                <w:szCs w:val="22"/>
              </w:rPr>
            </w:pPr>
            <w:r>
              <w:rPr>
                <w:rFonts w:cstheme="minorHAnsi"/>
                <w:color w:val="000000" w:themeColor="text1"/>
                <w:sz w:val="22"/>
                <w:szCs w:val="22"/>
              </w:rPr>
              <w:t>BM</w:t>
            </w:r>
          </w:p>
        </w:tc>
      </w:tr>
      <w:tr w:rsidR="007473B8" w:rsidRPr="00EF6BD2" w14:paraId="209BCD60" w14:textId="77777777" w:rsidTr="001B0D09">
        <w:trPr>
          <w:cnfStyle w:val="000000100000" w:firstRow="0" w:lastRow="0" w:firstColumn="0" w:lastColumn="0" w:oddVBand="0" w:evenVBand="0" w:oddHBand="1" w:evenHBand="0" w:firstRowFirstColumn="0" w:firstRowLastColumn="0" w:lastRowFirstColumn="0" w:lastRowLastColumn="0"/>
          <w:trHeight w:val="359"/>
        </w:trPr>
        <w:tc>
          <w:tcPr>
            <w:tcW w:w="851" w:type="dxa"/>
          </w:tcPr>
          <w:p w14:paraId="3C677B1E" w14:textId="2E260C76" w:rsidR="007473B8" w:rsidRPr="00EF6BD2" w:rsidRDefault="007473B8" w:rsidP="007473B8">
            <w:pPr>
              <w:pStyle w:val="Heading1Numbered"/>
              <w:numPr>
                <w:ilvl w:val="0"/>
                <w:numId w:val="0"/>
              </w:numPr>
              <w:spacing w:before="80" w:after="8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5.</w:t>
            </w:r>
          </w:p>
        </w:tc>
        <w:tc>
          <w:tcPr>
            <w:tcW w:w="7045" w:type="dxa"/>
          </w:tcPr>
          <w:p w14:paraId="68EAFE12" w14:textId="38D95F03" w:rsidR="007473B8" w:rsidRPr="00E31CD2" w:rsidRDefault="007473B8" w:rsidP="007473B8">
            <w:pPr>
              <w:adjustRightInd/>
              <w:snapToGrid/>
              <w:spacing w:before="80" w:after="80" w:line="300" w:lineRule="atLeast"/>
              <w:rPr>
                <w:rFonts w:cstheme="minorHAnsi"/>
                <w:color w:val="000000" w:themeColor="text1"/>
                <w:sz w:val="21"/>
                <w:szCs w:val="21"/>
              </w:rPr>
            </w:pPr>
            <w:r w:rsidRPr="007473B8">
              <w:rPr>
                <w:rFonts w:ascii="Poppins" w:eastAsia="Times New Roman" w:hAnsi="Poppins" w:cs="Poppins"/>
                <w:sz w:val="21"/>
                <w:szCs w:val="21"/>
                <w:lang w:eastAsia="en-AU"/>
              </w:rPr>
              <w:t>CAP members to reflect on the draft ISP findings and consider what role the CAP may need to play in responding.</w:t>
            </w:r>
          </w:p>
        </w:tc>
        <w:tc>
          <w:tcPr>
            <w:tcW w:w="2210" w:type="dxa"/>
          </w:tcPr>
          <w:p w14:paraId="1A21E005" w14:textId="3330A30F" w:rsidR="007473B8" w:rsidRPr="00EF6BD2" w:rsidRDefault="007473B8" w:rsidP="007473B8">
            <w:pPr>
              <w:spacing w:before="80" w:after="80" w:line="240" w:lineRule="auto"/>
              <w:rPr>
                <w:rFonts w:cstheme="minorHAnsi"/>
                <w:color w:val="000000" w:themeColor="text1"/>
                <w:sz w:val="22"/>
                <w:szCs w:val="22"/>
              </w:rPr>
            </w:pPr>
            <w:r>
              <w:rPr>
                <w:rFonts w:cstheme="minorHAnsi"/>
                <w:color w:val="000000" w:themeColor="text1"/>
                <w:sz w:val="22"/>
                <w:szCs w:val="22"/>
              </w:rPr>
              <w:t>LM</w:t>
            </w:r>
          </w:p>
        </w:tc>
      </w:tr>
      <w:tr w:rsidR="007473B8" w:rsidRPr="00EF6BD2" w14:paraId="15B43190" w14:textId="77777777" w:rsidTr="001B0D09">
        <w:trPr>
          <w:cnfStyle w:val="000000010000" w:firstRow="0" w:lastRow="0" w:firstColumn="0" w:lastColumn="0" w:oddVBand="0" w:evenVBand="0" w:oddHBand="0" w:evenHBand="1" w:firstRowFirstColumn="0" w:firstRowLastColumn="0" w:lastRowFirstColumn="0" w:lastRowLastColumn="0"/>
          <w:trHeight w:val="359"/>
        </w:trPr>
        <w:tc>
          <w:tcPr>
            <w:tcW w:w="851" w:type="dxa"/>
          </w:tcPr>
          <w:p w14:paraId="16CCC14A" w14:textId="675AEC49" w:rsidR="007473B8" w:rsidRPr="00EF6BD2" w:rsidRDefault="007473B8" w:rsidP="007473B8">
            <w:pPr>
              <w:pStyle w:val="Heading1Numbered"/>
              <w:numPr>
                <w:ilvl w:val="0"/>
                <w:numId w:val="0"/>
              </w:numPr>
              <w:spacing w:before="80" w:after="80"/>
              <w:ind w:left="340" w:hanging="34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w:t>
            </w:r>
          </w:p>
        </w:tc>
        <w:tc>
          <w:tcPr>
            <w:tcW w:w="7045" w:type="dxa"/>
          </w:tcPr>
          <w:p w14:paraId="481FE7BC" w14:textId="3E618D74" w:rsidR="007473B8" w:rsidRPr="006102EF" w:rsidRDefault="007473B8" w:rsidP="007473B8">
            <w:pPr>
              <w:spacing w:before="80" w:after="80" w:line="276" w:lineRule="auto"/>
              <w:rPr>
                <w:rFonts w:cstheme="minorHAnsi"/>
                <w:color w:val="000000" w:themeColor="text2"/>
                <w:sz w:val="21"/>
                <w:szCs w:val="21"/>
              </w:rPr>
            </w:pPr>
            <w:r w:rsidRPr="007473B8">
              <w:rPr>
                <w:rFonts w:ascii="Poppins" w:eastAsia="Times New Roman" w:hAnsi="Poppins" w:cs="Poppins"/>
                <w:sz w:val="21"/>
                <w:szCs w:val="21"/>
                <w:lang w:eastAsia="en-AU"/>
              </w:rPr>
              <w:t>Alycia to email CAP members seeking feedback on the three NTx funding options being considered by ElectraNet.</w:t>
            </w:r>
          </w:p>
        </w:tc>
        <w:tc>
          <w:tcPr>
            <w:tcW w:w="2210" w:type="dxa"/>
          </w:tcPr>
          <w:p w14:paraId="0B09E573" w14:textId="1B6CCE98" w:rsidR="007473B8" w:rsidRPr="00EF6BD2" w:rsidRDefault="007473B8" w:rsidP="007473B8">
            <w:pPr>
              <w:spacing w:before="80" w:after="80" w:line="240" w:lineRule="auto"/>
              <w:rPr>
                <w:rFonts w:cstheme="minorHAnsi"/>
                <w:color w:val="000000" w:themeColor="text1"/>
                <w:sz w:val="22"/>
                <w:szCs w:val="22"/>
              </w:rPr>
            </w:pPr>
            <w:r>
              <w:rPr>
                <w:rFonts w:cstheme="minorHAnsi"/>
                <w:color w:val="000000" w:themeColor="text1"/>
                <w:sz w:val="22"/>
                <w:szCs w:val="22"/>
              </w:rPr>
              <w:t>AM</w:t>
            </w:r>
          </w:p>
        </w:tc>
      </w:tr>
      <w:tr w:rsidR="007D2E50" w:rsidRPr="00EF6BD2" w14:paraId="1E265D0B" w14:textId="77777777" w:rsidTr="001B0D09">
        <w:trPr>
          <w:cnfStyle w:val="000000100000" w:firstRow="0" w:lastRow="0" w:firstColumn="0" w:lastColumn="0" w:oddVBand="0" w:evenVBand="0" w:oddHBand="1" w:evenHBand="0" w:firstRowFirstColumn="0" w:firstRowLastColumn="0" w:lastRowFirstColumn="0" w:lastRowLastColumn="0"/>
          <w:trHeight w:val="359"/>
        </w:trPr>
        <w:tc>
          <w:tcPr>
            <w:tcW w:w="851" w:type="dxa"/>
          </w:tcPr>
          <w:p w14:paraId="0C181A5D" w14:textId="224D8DA1" w:rsidR="007D2E50" w:rsidRPr="00EF6BD2" w:rsidRDefault="007473B8" w:rsidP="007473B8">
            <w:pPr>
              <w:pStyle w:val="Heading1Numbered"/>
              <w:numPr>
                <w:ilvl w:val="0"/>
                <w:numId w:val="0"/>
              </w:numPr>
              <w:spacing w:before="80" w:after="8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7</w:t>
            </w:r>
            <w:r w:rsidR="00E660B4">
              <w:rPr>
                <w:rFonts w:asciiTheme="minorHAnsi" w:hAnsiTheme="minorHAnsi" w:cstheme="minorHAnsi"/>
                <w:color w:val="000000" w:themeColor="text1"/>
                <w:sz w:val="22"/>
                <w:szCs w:val="22"/>
              </w:rPr>
              <w:t>.</w:t>
            </w:r>
          </w:p>
        </w:tc>
        <w:tc>
          <w:tcPr>
            <w:tcW w:w="7045" w:type="dxa"/>
          </w:tcPr>
          <w:p w14:paraId="13B81590" w14:textId="7CDB49B4" w:rsidR="007D2E50" w:rsidRPr="00E31CD2" w:rsidRDefault="007473B8" w:rsidP="007473B8">
            <w:pPr>
              <w:spacing w:before="80" w:after="80" w:line="240" w:lineRule="auto"/>
              <w:rPr>
                <w:rFonts w:cstheme="minorHAnsi"/>
                <w:color w:val="000000" w:themeColor="text2"/>
                <w:sz w:val="21"/>
                <w:szCs w:val="21"/>
              </w:rPr>
            </w:pPr>
            <w:r w:rsidRPr="007473B8">
              <w:rPr>
                <w:rFonts w:ascii="Poppins" w:hAnsi="Poppins" w:cs="Poppins"/>
                <w:sz w:val="21"/>
                <w:szCs w:val="21"/>
              </w:rPr>
              <w:t>Alycia to send alternative meeting dates to CAP members and updated calendar requests.</w:t>
            </w:r>
          </w:p>
        </w:tc>
        <w:tc>
          <w:tcPr>
            <w:tcW w:w="2210" w:type="dxa"/>
          </w:tcPr>
          <w:p w14:paraId="181FFC7F" w14:textId="0212FFC8" w:rsidR="007D2E50" w:rsidRPr="00EF6BD2" w:rsidRDefault="00964069" w:rsidP="007473B8">
            <w:pPr>
              <w:spacing w:before="80" w:after="80" w:line="240" w:lineRule="auto"/>
              <w:rPr>
                <w:rFonts w:cstheme="minorHAnsi"/>
                <w:color w:val="000000" w:themeColor="text2"/>
                <w:sz w:val="22"/>
                <w:szCs w:val="22"/>
              </w:rPr>
            </w:pPr>
            <w:r>
              <w:rPr>
                <w:rFonts w:cstheme="minorHAnsi"/>
                <w:color w:val="000000" w:themeColor="text2"/>
                <w:sz w:val="22"/>
                <w:szCs w:val="22"/>
              </w:rPr>
              <w:t>AM</w:t>
            </w:r>
          </w:p>
        </w:tc>
      </w:tr>
    </w:tbl>
    <w:p w14:paraId="00EB5416" w14:textId="42B63BAA" w:rsidR="00D178D7" w:rsidRPr="00EF6BD2" w:rsidRDefault="00D178D7" w:rsidP="007473B8">
      <w:pPr>
        <w:spacing w:line="276" w:lineRule="auto"/>
        <w:rPr>
          <w:rFonts w:cstheme="minorHAnsi"/>
          <w:sz w:val="22"/>
          <w:szCs w:val="22"/>
        </w:rPr>
      </w:pPr>
    </w:p>
    <w:sectPr w:rsidR="00D178D7" w:rsidRPr="00EF6BD2" w:rsidSect="00EE33F8">
      <w:headerReference w:type="default" r:id="rId11"/>
      <w:footerReference w:type="default" r:id="rId12"/>
      <w:headerReference w:type="first" r:id="rId13"/>
      <w:footerReference w:type="first" r:id="rId14"/>
      <w:pgSz w:w="11906" w:h="16838" w:code="9"/>
      <w:pgMar w:top="1814" w:right="1134" w:bottom="1134" w:left="1134" w:header="539" w:footer="14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D0672" w14:textId="77777777" w:rsidR="00D27FCA" w:rsidRPr="000E13B1" w:rsidRDefault="00D27FCA" w:rsidP="002B06F3">
      <w:r w:rsidRPr="000E13B1">
        <w:separator/>
      </w:r>
    </w:p>
    <w:p w14:paraId="2F8D3335" w14:textId="77777777" w:rsidR="00D27FCA" w:rsidRPr="000E13B1" w:rsidRDefault="00D27FCA" w:rsidP="002B06F3"/>
    <w:p w14:paraId="56F25264" w14:textId="77777777" w:rsidR="00D27FCA" w:rsidRPr="000E13B1" w:rsidRDefault="00D27FCA"/>
  </w:endnote>
  <w:endnote w:type="continuationSeparator" w:id="0">
    <w:p w14:paraId="71B46147" w14:textId="77777777" w:rsidR="00D27FCA" w:rsidRPr="000E13B1" w:rsidRDefault="00D27FCA" w:rsidP="002B06F3">
      <w:r w:rsidRPr="000E13B1">
        <w:continuationSeparator/>
      </w:r>
    </w:p>
    <w:p w14:paraId="3004D6E2" w14:textId="77777777" w:rsidR="00D27FCA" w:rsidRPr="000E13B1" w:rsidRDefault="00D27FCA" w:rsidP="002B06F3"/>
    <w:p w14:paraId="44B459C5" w14:textId="77777777" w:rsidR="00D27FCA" w:rsidRPr="000E13B1" w:rsidRDefault="00D27FCA"/>
  </w:endnote>
  <w:endnote w:type="continuationNotice" w:id="1">
    <w:p w14:paraId="3EFB8D35" w14:textId="77777777" w:rsidR="00D27FCA" w:rsidRDefault="00D27F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oppins">
    <w:panose1 w:val="00000500000000000000"/>
    <w:charset w:val="00"/>
    <w:family w:val="auto"/>
    <w:pitch w:val="variable"/>
    <w:sig w:usb0="00008007" w:usb1="00000000" w:usb2="00000000" w:usb3="00000000" w:csb0="00000093" w:csb1="00000000"/>
    <w:embedRegular r:id="rId1" w:fontKey="{C53B7BF8-D851-40A5-B400-F9F95022F26D}"/>
    <w:embedBold r:id="rId2" w:fontKey="{8553E24A-4870-43F8-8AE1-4314A4E2D0C4}"/>
    <w:embedItalic r:id="rId3" w:fontKey="{D3A19468-DDCD-4FB1-819B-3E9560A7ADDC}"/>
    <w:embedBoldItalic r:id="rId4" w:fontKey="{0F4E0C25-4D4A-4273-B4FD-C476AC3C8566}"/>
  </w:font>
  <w:font w:name="SimSun">
    <w:altName w:val="宋体"/>
    <w:panose1 w:val="02010600030101010101"/>
    <w:charset w:val="86"/>
    <w:family w:val="auto"/>
    <w:pitch w:val="variable"/>
    <w:sig w:usb0="00000203" w:usb1="288F0000" w:usb2="00000016" w:usb3="00000000" w:csb0="00040001" w:csb1="00000000"/>
  </w:font>
  <w:font w:name="Poppins SemiBold">
    <w:panose1 w:val="00000700000000000000"/>
    <w:charset w:val="00"/>
    <w:family w:val="auto"/>
    <w:pitch w:val="variable"/>
    <w:sig w:usb0="00008007" w:usb1="00000000" w:usb2="00000000" w:usb3="00000000" w:csb0="00000093" w:csb1="00000000"/>
    <w:embedRegular r:id="rId5" w:fontKey="{0208594F-061D-4AF9-9261-D90046AA6BCF}"/>
    <w:embedBold r:id="rId6" w:fontKey="{F434C9AA-5592-47B4-912B-27E380909586}"/>
    <w:embedItalic r:id="rId7" w:fontKey="{4B9EF9A3-F1BB-41B7-8215-049EB48139C2}"/>
    <w:embedBoldItalic r:id="rId8" w:fontKey="{2FE695EA-B305-4014-B6B1-B38E603FBDF7}"/>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09C754E4-54E8-4F2F-8BD4-7E3DBF077C15}"/>
  </w:font>
  <w:font w:name="Lucida Grande">
    <w:altName w:val="Courier New"/>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embedRegular r:id="rId10" w:fontKey="{AB8A245A-9258-4995-97EE-ECB9DA9CEB88}"/>
  </w:font>
  <w:font w:name="Consolas">
    <w:panose1 w:val="020B0609020204030204"/>
    <w:charset w:val="00"/>
    <w:family w:val="modern"/>
    <w:pitch w:val="fixed"/>
    <w:sig w:usb0="E00006FF" w:usb1="0000FCFF" w:usb2="00000001" w:usb3="00000000" w:csb0="0000019F" w:csb1="00000000"/>
    <w:embedRegular r:id="rId11" w:fontKey="{A01BCBA1-1C90-4683-B3A3-9FABDCD062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id w:val="60215614"/>
      <w:docPartObj>
        <w:docPartGallery w:val="Page Numbers (Bottom of Page)"/>
        <w:docPartUnique/>
      </w:docPartObj>
    </w:sdtPr>
    <w:sdtEndPr>
      <w:rPr>
        <w:noProof/>
        <w:sz w:val="20"/>
        <w:szCs w:val="20"/>
      </w:rPr>
    </w:sdtEndPr>
    <w:sdtContent>
      <w:p w14:paraId="1DA4CBD2" w14:textId="5DECAAF6" w:rsidR="00260061" w:rsidRPr="009F5757" w:rsidRDefault="00260061">
        <w:pPr>
          <w:pStyle w:val="Footer"/>
          <w:jc w:val="right"/>
          <w:rPr>
            <w:rFonts w:asciiTheme="majorHAnsi" w:eastAsiaTheme="majorEastAsia" w:hAnsiTheme="majorHAnsi" w:cstheme="majorBidi"/>
            <w:sz w:val="20"/>
            <w:szCs w:val="20"/>
          </w:rPr>
        </w:pPr>
        <w:r w:rsidRPr="009F5757">
          <w:rPr>
            <w:rFonts w:asciiTheme="majorHAnsi" w:eastAsiaTheme="majorEastAsia" w:hAnsiTheme="majorHAnsi" w:cstheme="majorBidi"/>
            <w:sz w:val="20"/>
            <w:szCs w:val="20"/>
          </w:rPr>
          <w:t xml:space="preserve">pg. </w:t>
        </w:r>
        <w:r w:rsidRPr="009F5757">
          <w:rPr>
            <w:rFonts w:cs="Times New Roman"/>
            <w:sz w:val="20"/>
            <w:szCs w:val="20"/>
          </w:rPr>
          <w:fldChar w:fldCharType="begin"/>
        </w:r>
        <w:r w:rsidRPr="009F5757">
          <w:rPr>
            <w:sz w:val="20"/>
            <w:szCs w:val="20"/>
          </w:rPr>
          <w:instrText xml:space="preserve"> PAGE    \* MERGEFORMAT </w:instrText>
        </w:r>
        <w:r w:rsidRPr="009F5757">
          <w:rPr>
            <w:rFonts w:cs="Times New Roman"/>
            <w:sz w:val="20"/>
            <w:szCs w:val="20"/>
          </w:rPr>
          <w:fldChar w:fldCharType="separate"/>
        </w:r>
        <w:r w:rsidRPr="009F5757">
          <w:rPr>
            <w:rFonts w:asciiTheme="majorHAnsi" w:eastAsiaTheme="majorEastAsia" w:hAnsiTheme="majorHAnsi" w:cstheme="majorBidi"/>
            <w:noProof/>
            <w:sz w:val="20"/>
            <w:szCs w:val="20"/>
          </w:rPr>
          <w:t>2</w:t>
        </w:r>
        <w:r w:rsidRPr="009F5757">
          <w:rPr>
            <w:rFonts w:asciiTheme="majorHAnsi" w:eastAsiaTheme="majorEastAsia" w:hAnsiTheme="majorHAnsi" w:cstheme="majorBidi"/>
            <w:noProof/>
            <w:sz w:val="20"/>
            <w:szCs w:val="20"/>
          </w:rPr>
          <w:fldChar w:fldCharType="end"/>
        </w:r>
      </w:p>
    </w:sdtContent>
  </w:sdt>
  <w:p w14:paraId="3B5CE182" w14:textId="77777777" w:rsidR="00260061" w:rsidRDefault="002600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ayoutGrid"/>
      <w:tblW w:w="5000" w:type="pct"/>
      <w:tblLayout w:type="fixed"/>
      <w:tblLook w:val="0480" w:firstRow="0" w:lastRow="0" w:firstColumn="1" w:lastColumn="0" w:noHBand="0" w:noVBand="1"/>
    </w:tblPr>
    <w:tblGrid>
      <w:gridCol w:w="9638"/>
    </w:tblGrid>
    <w:tr w:rsidR="0008226B" w:rsidRPr="000E13B1" w14:paraId="1819BBF5" w14:textId="77777777">
      <w:trPr>
        <w:trHeight w:val="340"/>
      </w:trPr>
      <w:tc>
        <w:tcPr>
          <w:tcW w:w="9638" w:type="dxa"/>
        </w:tcPr>
        <w:p w14:paraId="1A966E7F" w14:textId="77777777" w:rsidR="0008226B" w:rsidRPr="000E13B1" w:rsidRDefault="0008226B" w:rsidP="0008226B">
          <w:pPr>
            <w:pStyle w:val="Footer"/>
            <w:rPr>
              <w:color w:val="FFFFFF" w:themeColor="background1"/>
            </w:rPr>
          </w:pPr>
          <w:r w:rsidRPr="000E13B1">
            <w:t xml:space="preserve">Page </w:t>
          </w:r>
          <w:r w:rsidRPr="000E13B1">
            <w:fldChar w:fldCharType="begin"/>
          </w:r>
          <w:r w:rsidRPr="000E13B1">
            <w:instrText xml:space="preserve"> PAGE  \* Arabic </w:instrText>
          </w:r>
          <w:r w:rsidRPr="000E13B1">
            <w:fldChar w:fldCharType="separate"/>
          </w:r>
          <w:r w:rsidRPr="000E13B1">
            <w:t>2</w:t>
          </w:r>
          <w:r w:rsidRPr="000E13B1">
            <w:fldChar w:fldCharType="end"/>
          </w:r>
          <w:r w:rsidRPr="000E13B1">
            <w:t xml:space="preserve"> of </w:t>
          </w:r>
          <w:r w:rsidRPr="000E13B1">
            <w:fldChar w:fldCharType="begin"/>
          </w:r>
          <w:r w:rsidRPr="000E13B1">
            <w:instrText xml:space="preserve"> NUMPAGES  \# "0" \* Arabic </w:instrText>
          </w:r>
          <w:r w:rsidRPr="000E13B1">
            <w:fldChar w:fldCharType="separate"/>
          </w:r>
          <w:r w:rsidRPr="000E13B1">
            <w:t>3</w:t>
          </w:r>
          <w:r w:rsidRPr="000E13B1">
            <w:fldChar w:fldCharType="end"/>
          </w:r>
          <w:r w:rsidRPr="000E13B1">
            <w:t xml:space="preserve">  / Security Classification: </w:t>
          </w:r>
          <w:sdt>
            <w:sdtPr>
              <w:id w:val="1875729052"/>
              <w:showingPlcHdr/>
              <w:dropDownList>
                <w:listItem w:displayText="Public" w:value="Public"/>
                <w:listItem w:displayText="Internal" w:value="Internal"/>
                <w:listItem w:displayText="Confidential" w:value="Confidential"/>
                <w:listItem w:displayText="Commercial in Confidence" w:value="Commercial in Confidence"/>
                <w:listItem w:displayText="Protected Information" w:value="Protected Information"/>
              </w:dropDownList>
            </w:sdtPr>
            <w:sdtContent>
              <w:r w:rsidRPr="000E13B1">
                <w:rPr>
                  <w:rStyle w:val="PlaceholderText"/>
                </w:rPr>
                <w:t>&lt;select classification&gt;</w:t>
              </w:r>
            </w:sdtContent>
          </w:sdt>
          <w:r w:rsidRPr="000E13B1">
            <w:t xml:space="preserve">  / Distribution: </w:t>
          </w:r>
          <w:sdt>
            <w:sdtPr>
              <w:id w:val="1807820670"/>
              <w:showingPlcHdr/>
              <w:dropDownList>
                <w:listItem w:displayText="Public" w:value="Public"/>
                <w:listItem w:displayText="Internal" w:value="Internal"/>
                <w:listItem w:displayText="Confidential" w:value="Confidential"/>
                <w:listItem w:displayText="All Staff" w:value="All Staff"/>
              </w:dropDownList>
            </w:sdtPr>
            <w:sdtContent>
              <w:r w:rsidRPr="000E13B1">
                <w:rPr>
                  <w:rStyle w:val="PlaceholderText"/>
                </w:rPr>
                <w:t>&lt;enter distribution&gt;</w:t>
              </w:r>
            </w:sdtContent>
          </w:sdt>
          <w:r w:rsidRPr="000E13B1">
            <w:t xml:space="preserve">  / Version: </w:t>
          </w:r>
          <w:sdt>
            <w:sdtPr>
              <w:id w:val="1582481723"/>
              <w:showingPlcHdr/>
              <w:text/>
            </w:sdtPr>
            <w:sdtContent>
              <w:r w:rsidRPr="000E13B1">
                <w:rPr>
                  <w:rStyle w:val="PlaceholderText"/>
                </w:rPr>
                <w:t>&lt;enter #&gt;</w:t>
              </w:r>
            </w:sdtContent>
          </w:sdt>
        </w:p>
      </w:tc>
    </w:tr>
  </w:tbl>
  <w:p w14:paraId="2E4C53DD" w14:textId="77777777" w:rsidR="0008226B" w:rsidRPr="000E13B1" w:rsidRDefault="0008226B">
    <w:pPr>
      <w:pStyle w:val="Footer"/>
    </w:pPr>
  </w:p>
  <w:p w14:paraId="4139FF0E" w14:textId="77777777" w:rsidR="002E3CDF" w:rsidRPr="000E13B1" w:rsidRDefault="002E3C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E0F8C" w14:textId="77777777" w:rsidR="00D27FCA" w:rsidRPr="000E13B1" w:rsidRDefault="00D27FCA" w:rsidP="002B06F3">
      <w:r w:rsidRPr="000E13B1">
        <w:separator/>
      </w:r>
    </w:p>
    <w:p w14:paraId="5B5725AE" w14:textId="77777777" w:rsidR="00D27FCA" w:rsidRPr="000E13B1" w:rsidRDefault="00D27FCA" w:rsidP="002B06F3"/>
    <w:p w14:paraId="394D6A6A" w14:textId="77777777" w:rsidR="00D27FCA" w:rsidRPr="000E13B1" w:rsidRDefault="00D27FCA"/>
  </w:footnote>
  <w:footnote w:type="continuationSeparator" w:id="0">
    <w:p w14:paraId="72183E0A" w14:textId="77777777" w:rsidR="00D27FCA" w:rsidRPr="000E13B1" w:rsidRDefault="00D27FCA" w:rsidP="002B06F3">
      <w:r w:rsidRPr="000E13B1">
        <w:continuationSeparator/>
      </w:r>
    </w:p>
    <w:p w14:paraId="2710EB50" w14:textId="77777777" w:rsidR="00D27FCA" w:rsidRPr="000E13B1" w:rsidRDefault="00D27FCA" w:rsidP="002B06F3"/>
    <w:p w14:paraId="4F202245" w14:textId="77777777" w:rsidR="00D27FCA" w:rsidRPr="000E13B1" w:rsidRDefault="00D27FCA"/>
  </w:footnote>
  <w:footnote w:type="continuationNotice" w:id="1">
    <w:p w14:paraId="1C330AE5" w14:textId="77777777" w:rsidR="00D27FCA" w:rsidRPr="000E13B1" w:rsidRDefault="00D27FCA" w:rsidP="002B06F3"/>
    <w:p w14:paraId="6D35ABFC" w14:textId="77777777" w:rsidR="00D27FCA" w:rsidRPr="000E13B1" w:rsidRDefault="00D27F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98184" w14:textId="6A4933F6" w:rsidR="00E13CA7" w:rsidRDefault="00243B4E">
    <w:pPr>
      <w:pStyle w:val="Header"/>
    </w:pPr>
    <w:r w:rsidRPr="00260EE7">
      <w:rPr>
        <w:noProof/>
      </w:rPr>
      <w:drawing>
        <wp:inline distT="0" distB="0" distL="0" distR="0" wp14:anchorId="155B658C" wp14:editId="6E536507">
          <wp:extent cx="1641600" cy="320400"/>
          <wp:effectExtent l="0" t="0" r="0" b="3810"/>
          <wp:docPr id="1738211541" name="Picture 2"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59153" name="Picture 2" descr="A black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41600" cy="320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42" w:type="pct"/>
      <w:tblLayout w:type="fixed"/>
      <w:tblCellMar>
        <w:left w:w="0" w:type="dxa"/>
        <w:right w:w="0" w:type="dxa"/>
      </w:tblCellMar>
      <w:tblLook w:val="04A0" w:firstRow="1" w:lastRow="0" w:firstColumn="1" w:lastColumn="0" w:noHBand="0" w:noVBand="1"/>
    </w:tblPr>
    <w:tblGrid>
      <w:gridCol w:w="6663"/>
      <w:gridCol w:w="3056"/>
    </w:tblGrid>
    <w:tr w:rsidR="0008226B" w:rsidRPr="000E13B1" w14:paraId="633BE893" w14:textId="77777777">
      <w:trPr>
        <w:trHeight w:val="567"/>
      </w:trPr>
      <w:tc>
        <w:tcPr>
          <w:tcW w:w="6663" w:type="dxa"/>
          <w:vAlign w:val="center"/>
        </w:tcPr>
        <w:p w14:paraId="0F825F4E" w14:textId="77777777" w:rsidR="0008226B" w:rsidRPr="000E13B1" w:rsidRDefault="0008226B" w:rsidP="0008226B">
          <w:pPr>
            <w:pStyle w:val="Header"/>
            <w:rPr>
              <w:rFonts w:asciiTheme="majorHAnsi" w:hAnsiTheme="majorHAnsi" w:cstheme="majorHAnsi"/>
              <w:color w:val="203136" w:themeColor="accent1"/>
            </w:rPr>
          </w:pPr>
          <w:r w:rsidRPr="000E13B1">
            <w:rPr>
              <w:rFonts w:asciiTheme="majorHAnsi" w:hAnsiTheme="majorHAnsi" w:cstheme="majorHAnsi"/>
              <w:color w:val="203136" w:themeColor="accent1"/>
            </w:rPr>
            <w:fldChar w:fldCharType="begin"/>
          </w:r>
          <w:r w:rsidRPr="000E13B1">
            <w:rPr>
              <w:rFonts w:asciiTheme="majorHAnsi" w:hAnsiTheme="majorHAnsi" w:cstheme="majorHAnsi"/>
              <w:color w:val="203136" w:themeColor="accent1"/>
            </w:rPr>
            <w:instrText xml:space="preserve"> STYLEREF  Title </w:instrText>
          </w:r>
          <w:r w:rsidRPr="000E13B1">
            <w:rPr>
              <w:rFonts w:asciiTheme="majorHAnsi" w:hAnsiTheme="majorHAnsi" w:cstheme="majorHAnsi"/>
              <w:color w:val="203136" w:themeColor="accent1"/>
            </w:rPr>
            <w:fldChar w:fldCharType="separate"/>
          </w:r>
          <w:r w:rsidR="00127276" w:rsidRPr="000E13B1">
            <w:rPr>
              <w:rFonts w:asciiTheme="majorHAnsi" w:hAnsiTheme="majorHAnsi" w:cstheme="majorHAnsi"/>
              <w:color w:val="203136" w:themeColor="accent1"/>
            </w:rPr>
            <w:t>Report Title</w:t>
          </w:r>
          <w:r w:rsidR="00127276" w:rsidRPr="000E13B1">
            <w:rPr>
              <w:rFonts w:asciiTheme="majorHAnsi" w:hAnsiTheme="majorHAnsi" w:cstheme="majorHAnsi"/>
              <w:color w:val="203136" w:themeColor="accent1"/>
            </w:rPr>
            <w:br/>
            <w:t>Report Title line 2</w:t>
          </w:r>
          <w:r w:rsidRPr="000E13B1">
            <w:rPr>
              <w:rFonts w:asciiTheme="majorHAnsi" w:hAnsiTheme="majorHAnsi" w:cstheme="majorHAnsi"/>
              <w:color w:val="203136" w:themeColor="accent1"/>
            </w:rPr>
            <w:fldChar w:fldCharType="end"/>
          </w:r>
        </w:p>
      </w:tc>
      <w:tc>
        <w:tcPr>
          <w:tcW w:w="3056" w:type="dxa"/>
        </w:tcPr>
        <w:p w14:paraId="178EFAE5" w14:textId="77777777" w:rsidR="0008226B" w:rsidRPr="000E13B1" w:rsidRDefault="0008226B" w:rsidP="0008226B">
          <w:pPr>
            <w:pStyle w:val="Header"/>
            <w:jc w:val="right"/>
          </w:pPr>
          <w:r w:rsidRPr="000E13B1">
            <w:rPr>
              <w:noProof/>
            </w:rPr>
            <w:drawing>
              <wp:inline distT="0" distB="0" distL="0" distR="0" wp14:anchorId="286AC071" wp14:editId="226585E5">
                <wp:extent cx="1641600" cy="320400"/>
                <wp:effectExtent l="0" t="0" r="0" b="3810"/>
                <wp:docPr id="475819683" name="Picture 2"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59153" name="Picture 2" descr="A black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41600" cy="320400"/>
                        </a:xfrm>
                        <a:prstGeom prst="rect">
                          <a:avLst/>
                        </a:prstGeom>
                      </pic:spPr>
                    </pic:pic>
                  </a:graphicData>
                </a:graphic>
              </wp:inline>
            </w:drawing>
          </w:r>
        </w:p>
      </w:tc>
    </w:tr>
  </w:tbl>
  <w:p w14:paraId="0C5630E3" w14:textId="77777777" w:rsidR="0008226B" w:rsidRPr="000E13B1" w:rsidRDefault="0008226B" w:rsidP="0008226B">
    <w:pPr>
      <w:pStyle w:val="Header"/>
    </w:pPr>
  </w:p>
  <w:p w14:paraId="619E3401" w14:textId="77777777" w:rsidR="002E3CDF" w:rsidRPr="000E13B1" w:rsidRDefault="002E3C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95C19"/>
    <w:multiLevelType w:val="hybridMultilevel"/>
    <w:tmpl w:val="F67CB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3E1A44"/>
    <w:multiLevelType w:val="hybridMultilevel"/>
    <w:tmpl w:val="2CC038A4"/>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780311"/>
    <w:multiLevelType w:val="multilevel"/>
    <w:tmpl w:val="73806E7A"/>
    <w:lvl w:ilvl="0">
      <w:start w:val="1"/>
      <w:numFmt w:val="upperLetter"/>
      <w:pStyle w:val="Heading5"/>
      <w:lvlText w:val="APPENDIX.%1"/>
      <w:lvlJc w:val="left"/>
      <w:pPr>
        <w:ind w:left="284" w:hanging="284"/>
      </w:pPr>
      <w:rPr>
        <w:rFonts w:ascii="Arial" w:hAnsi="Arial" w:hint="default"/>
        <w:b/>
        <w:i w:val="0"/>
        <w:color w:val="000000" w:themeColor="text2"/>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6B4AC8"/>
    <w:multiLevelType w:val="multilevel"/>
    <w:tmpl w:val="20F22E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4471B6"/>
    <w:multiLevelType w:val="multilevel"/>
    <w:tmpl w:val="5E78BF50"/>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0CF251E9"/>
    <w:multiLevelType w:val="multilevel"/>
    <w:tmpl w:val="54363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4B62FB"/>
    <w:multiLevelType w:val="hybridMultilevel"/>
    <w:tmpl w:val="EDAEB32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992432"/>
    <w:multiLevelType w:val="multilevel"/>
    <w:tmpl w:val="9454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CE6653"/>
    <w:multiLevelType w:val="hybridMultilevel"/>
    <w:tmpl w:val="88BAC4A2"/>
    <w:lvl w:ilvl="0" w:tplc="2D2C6886">
      <w:start w:val="1"/>
      <w:numFmt w:val="bullet"/>
      <w:lvlText w:val="•"/>
      <w:lvlJc w:val="left"/>
      <w:pPr>
        <w:tabs>
          <w:tab w:val="num" w:pos="720"/>
        </w:tabs>
        <w:ind w:left="720" w:hanging="360"/>
      </w:pPr>
      <w:rPr>
        <w:rFonts w:ascii="Arial" w:hAnsi="Arial" w:hint="default"/>
      </w:rPr>
    </w:lvl>
    <w:lvl w:ilvl="1" w:tplc="47BC5298">
      <w:start w:val="1"/>
      <w:numFmt w:val="bullet"/>
      <w:lvlText w:val="•"/>
      <w:lvlJc w:val="left"/>
      <w:pPr>
        <w:tabs>
          <w:tab w:val="num" w:pos="1440"/>
        </w:tabs>
        <w:ind w:left="1440" w:hanging="360"/>
      </w:pPr>
      <w:rPr>
        <w:rFonts w:ascii="Arial" w:hAnsi="Arial" w:hint="default"/>
      </w:rPr>
    </w:lvl>
    <w:lvl w:ilvl="2" w:tplc="F5B60B90" w:tentative="1">
      <w:start w:val="1"/>
      <w:numFmt w:val="bullet"/>
      <w:lvlText w:val="•"/>
      <w:lvlJc w:val="left"/>
      <w:pPr>
        <w:tabs>
          <w:tab w:val="num" w:pos="2160"/>
        </w:tabs>
        <w:ind w:left="2160" w:hanging="360"/>
      </w:pPr>
      <w:rPr>
        <w:rFonts w:ascii="Arial" w:hAnsi="Arial" w:hint="default"/>
      </w:rPr>
    </w:lvl>
    <w:lvl w:ilvl="3" w:tplc="08C0E7F6" w:tentative="1">
      <w:start w:val="1"/>
      <w:numFmt w:val="bullet"/>
      <w:lvlText w:val="•"/>
      <w:lvlJc w:val="left"/>
      <w:pPr>
        <w:tabs>
          <w:tab w:val="num" w:pos="2880"/>
        </w:tabs>
        <w:ind w:left="2880" w:hanging="360"/>
      </w:pPr>
      <w:rPr>
        <w:rFonts w:ascii="Arial" w:hAnsi="Arial" w:hint="default"/>
      </w:rPr>
    </w:lvl>
    <w:lvl w:ilvl="4" w:tplc="8E68B848" w:tentative="1">
      <w:start w:val="1"/>
      <w:numFmt w:val="bullet"/>
      <w:lvlText w:val="•"/>
      <w:lvlJc w:val="left"/>
      <w:pPr>
        <w:tabs>
          <w:tab w:val="num" w:pos="3600"/>
        </w:tabs>
        <w:ind w:left="3600" w:hanging="360"/>
      </w:pPr>
      <w:rPr>
        <w:rFonts w:ascii="Arial" w:hAnsi="Arial" w:hint="default"/>
      </w:rPr>
    </w:lvl>
    <w:lvl w:ilvl="5" w:tplc="594662EC" w:tentative="1">
      <w:start w:val="1"/>
      <w:numFmt w:val="bullet"/>
      <w:lvlText w:val="•"/>
      <w:lvlJc w:val="left"/>
      <w:pPr>
        <w:tabs>
          <w:tab w:val="num" w:pos="4320"/>
        </w:tabs>
        <w:ind w:left="4320" w:hanging="360"/>
      </w:pPr>
      <w:rPr>
        <w:rFonts w:ascii="Arial" w:hAnsi="Arial" w:hint="default"/>
      </w:rPr>
    </w:lvl>
    <w:lvl w:ilvl="6" w:tplc="96C238A2" w:tentative="1">
      <w:start w:val="1"/>
      <w:numFmt w:val="bullet"/>
      <w:lvlText w:val="•"/>
      <w:lvlJc w:val="left"/>
      <w:pPr>
        <w:tabs>
          <w:tab w:val="num" w:pos="5040"/>
        </w:tabs>
        <w:ind w:left="5040" w:hanging="360"/>
      </w:pPr>
      <w:rPr>
        <w:rFonts w:ascii="Arial" w:hAnsi="Arial" w:hint="default"/>
      </w:rPr>
    </w:lvl>
    <w:lvl w:ilvl="7" w:tplc="FF86687C" w:tentative="1">
      <w:start w:val="1"/>
      <w:numFmt w:val="bullet"/>
      <w:lvlText w:val="•"/>
      <w:lvlJc w:val="left"/>
      <w:pPr>
        <w:tabs>
          <w:tab w:val="num" w:pos="5760"/>
        </w:tabs>
        <w:ind w:left="5760" w:hanging="360"/>
      </w:pPr>
      <w:rPr>
        <w:rFonts w:ascii="Arial" w:hAnsi="Arial" w:hint="default"/>
      </w:rPr>
    </w:lvl>
    <w:lvl w:ilvl="8" w:tplc="F544D50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3054E4A"/>
    <w:multiLevelType w:val="multilevel"/>
    <w:tmpl w:val="026EAF9E"/>
    <w:lvl w:ilvl="0">
      <w:start w:val="1"/>
      <w:numFmt w:val="decimal"/>
      <w:pStyle w:val="ListNumber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36249F5"/>
    <w:multiLevelType w:val="multilevel"/>
    <w:tmpl w:val="171A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B47145"/>
    <w:multiLevelType w:val="hybridMultilevel"/>
    <w:tmpl w:val="D72A20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1C4877D7"/>
    <w:multiLevelType w:val="hybridMultilevel"/>
    <w:tmpl w:val="FFFFFFFF"/>
    <w:lvl w:ilvl="0" w:tplc="C37E3258">
      <w:start w:val="1"/>
      <w:numFmt w:val="bullet"/>
      <w:lvlText w:val=""/>
      <w:lvlJc w:val="left"/>
      <w:pPr>
        <w:ind w:left="720" w:hanging="360"/>
      </w:pPr>
      <w:rPr>
        <w:rFonts w:ascii="Symbol" w:hAnsi="Symbol" w:hint="default"/>
      </w:rPr>
    </w:lvl>
    <w:lvl w:ilvl="1" w:tplc="C6A8A2C8">
      <w:start w:val="1"/>
      <w:numFmt w:val="bullet"/>
      <w:lvlText w:val="o"/>
      <w:lvlJc w:val="left"/>
      <w:pPr>
        <w:ind w:left="1440" w:hanging="360"/>
      </w:pPr>
      <w:rPr>
        <w:rFonts w:ascii="Courier New" w:hAnsi="Courier New" w:hint="default"/>
      </w:rPr>
    </w:lvl>
    <w:lvl w:ilvl="2" w:tplc="420C4EB2">
      <w:start w:val="1"/>
      <w:numFmt w:val="bullet"/>
      <w:lvlText w:val=""/>
      <w:lvlJc w:val="left"/>
      <w:pPr>
        <w:ind w:left="2160" w:hanging="360"/>
      </w:pPr>
      <w:rPr>
        <w:rFonts w:ascii="Wingdings" w:hAnsi="Wingdings" w:hint="default"/>
      </w:rPr>
    </w:lvl>
    <w:lvl w:ilvl="3" w:tplc="9BAA6D0C">
      <w:start w:val="1"/>
      <w:numFmt w:val="bullet"/>
      <w:lvlText w:val=""/>
      <w:lvlJc w:val="left"/>
      <w:pPr>
        <w:ind w:left="2880" w:hanging="360"/>
      </w:pPr>
      <w:rPr>
        <w:rFonts w:ascii="Symbol" w:hAnsi="Symbol" w:hint="default"/>
      </w:rPr>
    </w:lvl>
    <w:lvl w:ilvl="4" w:tplc="D5B64F7C">
      <w:start w:val="1"/>
      <w:numFmt w:val="bullet"/>
      <w:lvlText w:val="o"/>
      <w:lvlJc w:val="left"/>
      <w:pPr>
        <w:ind w:left="3600" w:hanging="360"/>
      </w:pPr>
      <w:rPr>
        <w:rFonts w:ascii="Courier New" w:hAnsi="Courier New" w:hint="default"/>
      </w:rPr>
    </w:lvl>
    <w:lvl w:ilvl="5" w:tplc="B950C802">
      <w:start w:val="1"/>
      <w:numFmt w:val="bullet"/>
      <w:lvlText w:val=""/>
      <w:lvlJc w:val="left"/>
      <w:pPr>
        <w:ind w:left="4320" w:hanging="360"/>
      </w:pPr>
      <w:rPr>
        <w:rFonts w:ascii="Wingdings" w:hAnsi="Wingdings" w:hint="default"/>
      </w:rPr>
    </w:lvl>
    <w:lvl w:ilvl="6" w:tplc="771A7DC8">
      <w:start w:val="1"/>
      <w:numFmt w:val="bullet"/>
      <w:lvlText w:val=""/>
      <w:lvlJc w:val="left"/>
      <w:pPr>
        <w:ind w:left="5040" w:hanging="360"/>
      </w:pPr>
      <w:rPr>
        <w:rFonts w:ascii="Symbol" w:hAnsi="Symbol" w:hint="default"/>
      </w:rPr>
    </w:lvl>
    <w:lvl w:ilvl="7" w:tplc="EB362C38">
      <w:start w:val="1"/>
      <w:numFmt w:val="bullet"/>
      <w:lvlText w:val="o"/>
      <w:lvlJc w:val="left"/>
      <w:pPr>
        <w:ind w:left="5760" w:hanging="360"/>
      </w:pPr>
      <w:rPr>
        <w:rFonts w:ascii="Courier New" w:hAnsi="Courier New" w:hint="default"/>
      </w:rPr>
    </w:lvl>
    <w:lvl w:ilvl="8" w:tplc="C9484690">
      <w:start w:val="1"/>
      <w:numFmt w:val="bullet"/>
      <w:lvlText w:val=""/>
      <w:lvlJc w:val="left"/>
      <w:pPr>
        <w:ind w:left="6480" w:hanging="360"/>
      </w:pPr>
      <w:rPr>
        <w:rFonts w:ascii="Wingdings" w:hAnsi="Wingdings" w:hint="default"/>
      </w:rPr>
    </w:lvl>
  </w:abstractNum>
  <w:abstractNum w:abstractNumId="13" w15:restartNumberingAfterBreak="0">
    <w:nsid w:val="1CBA3EDD"/>
    <w:multiLevelType w:val="hybridMultilevel"/>
    <w:tmpl w:val="E5EAF5C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D9666E"/>
    <w:multiLevelType w:val="multilevel"/>
    <w:tmpl w:val="C49AC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451C10"/>
    <w:multiLevelType w:val="multilevel"/>
    <w:tmpl w:val="BD26CDA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BE4954"/>
    <w:multiLevelType w:val="multilevel"/>
    <w:tmpl w:val="DD86F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FA7C19"/>
    <w:multiLevelType w:val="hybridMultilevel"/>
    <w:tmpl w:val="5D840A28"/>
    <w:lvl w:ilvl="0" w:tplc="150AA43A">
      <w:start w:val="1"/>
      <w:numFmt w:val="decimal"/>
      <w:lvlText w:val="%1."/>
      <w:lvlJc w:val="left"/>
      <w:pPr>
        <w:ind w:left="720" w:hanging="360"/>
      </w:pPr>
    </w:lvl>
    <w:lvl w:ilvl="1" w:tplc="D102EF1E">
      <w:start w:val="1"/>
      <w:numFmt w:val="lowerLetter"/>
      <w:lvlText w:val="%2."/>
      <w:lvlJc w:val="left"/>
      <w:pPr>
        <w:ind w:left="1440" w:hanging="360"/>
      </w:pPr>
    </w:lvl>
    <w:lvl w:ilvl="2" w:tplc="FA3681AC">
      <w:start w:val="1"/>
      <w:numFmt w:val="lowerRoman"/>
      <w:lvlText w:val="%3."/>
      <w:lvlJc w:val="right"/>
      <w:pPr>
        <w:ind w:left="2160" w:hanging="180"/>
      </w:pPr>
    </w:lvl>
    <w:lvl w:ilvl="3" w:tplc="2CC02E8C">
      <w:start w:val="1"/>
      <w:numFmt w:val="decimal"/>
      <w:lvlText w:val="%4."/>
      <w:lvlJc w:val="left"/>
      <w:pPr>
        <w:ind w:left="2880" w:hanging="360"/>
      </w:pPr>
    </w:lvl>
    <w:lvl w:ilvl="4" w:tplc="40206B10">
      <w:start w:val="1"/>
      <w:numFmt w:val="lowerLetter"/>
      <w:lvlText w:val="%5."/>
      <w:lvlJc w:val="left"/>
      <w:pPr>
        <w:ind w:left="3600" w:hanging="360"/>
      </w:pPr>
    </w:lvl>
    <w:lvl w:ilvl="5" w:tplc="ACA60F48">
      <w:start w:val="1"/>
      <w:numFmt w:val="lowerRoman"/>
      <w:lvlText w:val="%6."/>
      <w:lvlJc w:val="right"/>
      <w:pPr>
        <w:ind w:left="4320" w:hanging="180"/>
      </w:pPr>
    </w:lvl>
    <w:lvl w:ilvl="6" w:tplc="A2A072CC">
      <w:start w:val="1"/>
      <w:numFmt w:val="decimal"/>
      <w:lvlText w:val="%7."/>
      <w:lvlJc w:val="left"/>
      <w:pPr>
        <w:ind w:left="5040" w:hanging="360"/>
      </w:pPr>
    </w:lvl>
    <w:lvl w:ilvl="7" w:tplc="6FA69BEA">
      <w:start w:val="1"/>
      <w:numFmt w:val="lowerLetter"/>
      <w:lvlText w:val="%8."/>
      <w:lvlJc w:val="left"/>
      <w:pPr>
        <w:ind w:left="5760" w:hanging="360"/>
      </w:pPr>
    </w:lvl>
    <w:lvl w:ilvl="8" w:tplc="F5F43C80">
      <w:start w:val="1"/>
      <w:numFmt w:val="lowerRoman"/>
      <w:lvlText w:val="%9."/>
      <w:lvlJc w:val="right"/>
      <w:pPr>
        <w:ind w:left="6480" w:hanging="180"/>
      </w:pPr>
    </w:lvl>
  </w:abstractNum>
  <w:abstractNum w:abstractNumId="18" w15:restartNumberingAfterBreak="0">
    <w:nsid w:val="26E37CD2"/>
    <w:multiLevelType w:val="multilevel"/>
    <w:tmpl w:val="B380E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A230DA"/>
    <w:multiLevelType w:val="hybridMultilevel"/>
    <w:tmpl w:val="D1E27376"/>
    <w:lvl w:ilvl="0" w:tplc="0C090003">
      <w:start w:val="1"/>
      <w:numFmt w:val="bullet"/>
      <w:lvlText w:val="o"/>
      <w:lvlJc w:val="left"/>
      <w:pPr>
        <w:ind w:left="1495" w:hanging="360"/>
      </w:pPr>
      <w:rPr>
        <w:rFonts w:ascii="Courier New" w:hAnsi="Courier New" w:cs="Courier New" w:hint="default"/>
      </w:rPr>
    </w:lvl>
    <w:lvl w:ilvl="1" w:tplc="0C090003" w:tentative="1">
      <w:start w:val="1"/>
      <w:numFmt w:val="bullet"/>
      <w:lvlText w:val="o"/>
      <w:lvlJc w:val="left"/>
      <w:pPr>
        <w:ind w:left="2215" w:hanging="360"/>
      </w:pPr>
      <w:rPr>
        <w:rFonts w:ascii="Courier New" w:hAnsi="Courier New" w:cs="Courier New" w:hint="default"/>
      </w:rPr>
    </w:lvl>
    <w:lvl w:ilvl="2" w:tplc="0C090005" w:tentative="1">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cs="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cs="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20" w15:restartNumberingAfterBreak="0">
    <w:nsid w:val="2D890E47"/>
    <w:multiLevelType w:val="hybridMultilevel"/>
    <w:tmpl w:val="253E1CA0"/>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E0C42A7"/>
    <w:multiLevelType w:val="multilevel"/>
    <w:tmpl w:val="9176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354E3F"/>
    <w:multiLevelType w:val="multilevel"/>
    <w:tmpl w:val="C8C4A0C4"/>
    <w:lvl w:ilvl="0">
      <w:start w:val="2"/>
      <w:numFmt w:val="decimal"/>
      <w:lvlText w:val="%1."/>
      <w:lvlJc w:val="left"/>
      <w:pPr>
        <w:ind w:left="360" w:hanging="360"/>
      </w:pPr>
      <w:rPr>
        <w:rFonts w:eastAsiaTheme="majorEastAsia" w:cs="Times New Roman" w:hint="default"/>
        <w:sz w:val="28"/>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3" w15:restartNumberingAfterBreak="0">
    <w:nsid w:val="31DA4666"/>
    <w:multiLevelType w:val="multilevel"/>
    <w:tmpl w:val="3476DE6E"/>
    <w:styleLink w:val="Bullets"/>
    <w:lvl w:ilvl="0">
      <w:start w:val="1"/>
      <w:numFmt w:val="bullet"/>
      <w:pStyle w:val="ListBullet"/>
      <w:lvlText w:val=""/>
      <w:lvlJc w:val="left"/>
      <w:pPr>
        <w:ind w:left="340" w:hanging="340"/>
      </w:pPr>
      <w:rPr>
        <w:rFonts w:ascii="Wingdings" w:hAnsi="Wingdings" w:hint="default"/>
        <w:b w:val="0"/>
        <w:i w:val="0"/>
        <w:color w:val="auto"/>
        <w:sz w:val="22"/>
      </w:rPr>
    </w:lvl>
    <w:lvl w:ilvl="1">
      <w:start w:val="1"/>
      <w:numFmt w:val="bullet"/>
      <w:pStyle w:val="ListBullet2"/>
      <w:lvlText w:val=""/>
      <w:lvlJc w:val="left"/>
      <w:pPr>
        <w:ind w:left="680" w:hanging="340"/>
      </w:pPr>
      <w:rPr>
        <w:rFonts w:ascii="Symbol" w:hAnsi="Symbol" w:hint="default"/>
        <w:color w:val="auto"/>
      </w:rPr>
    </w:lvl>
    <w:lvl w:ilvl="2">
      <w:start w:val="1"/>
      <w:numFmt w:val="bullet"/>
      <w:pStyle w:val="ListBullet3"/>
      <w:lvlText w:val=""/>
      <w:lvlJc w:val="left"/>
      <w:pPr>
        <w:ind w:left="1021" w:hanging="341"/>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2E1258E"/>
    <w:multiLevelType w:val="multilevel"/>
    <w:tmpl w:val="D7268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53B474F"/>
    <w:multiLevelType w:val="multilevel"/>
    <w:tmpl w:val="AA10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AD553A"/>
    <w:multiLevelType w:val="multilevel"/>
    <w:tmpl w:val="A78C4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DF19BA"/>
    <w:multiLevelType w:val="hybridMultilevel"/>
    <w:tmpl w:val="6B029CCE"/>
    <w:lvl w:ilvl="0" w:tplc="00E23B62">
      <w:start w:val="1"/>
      <w:numFmt w:val="bullet"/>
      <w:lvlText w:val="•"/>
      <w:lvlJc w:val="left"/>
      <w:pPr>
        <w:tabs>
          <w:tab w:val="num" w:pos="720"/>
        </w:tabs>
        <w:ind w:left="720" w:hanging="360"/>
      </w:pPr>
      <w:rPr>
        <w:rFonts w:ascii="Arial" w:hAnsi="Arial" w:hint="default"/>
      </w:rPr>
    </w:lvl>
    <w:lvl w:ilvl="1" w:tplc="77FA1440">
      <w:start w:val="1"/>
      <w:numFmt w:val="bullet"/>
      <w:lvlText w:val="•"/>
      <w:lvlJc w:val="left"/>
      <w:pPr>
        <w:tabs>
          <w:tab w:val="num" w:pos="1440"/>
        </w:tabs>
        <w:ind w:left="1440" w:hanging="360"/>
      </w:pPr>
      <w:rPr>
        <w:rFonts w:ascii="Arial" w:hAnsi="Arial" w:hint="default"/>
      </w:rPr>
    </w:lvl>
    <w:lvl w:ilvl="2" w:tplc="3AE85E4E" w:tentative="1">
      <w:start w:val="1"/>
      <w:numFmt w:val="bullet"/>
      <w:lvlText w:val="•"/>
      <w:lvlJc w:val="left"/>
      <w:pPr>
        <w:tabs>
          <w:tab w:val="num" w:pos="2160"/>
        </w:tabs>
        <w:ind w:left="2160" w:hanging="360"/>
      </w:pPr>
      <w:rPr>
        <w:rFonts w:ascii="Arial" w:hAnsi="Arial" w:hint="default"/>
      </w:rPr>
    </w:lvl>
    <w:lvl w:ilvl="3" w:tplc="72268E58" w:tentative="1">
      <w:start w:val="1"/>
      <w:numFmt w:val="bullet"/>
      <w:lvlText w:val="•"/>
      <w:lvlJc w:val="left"/>
      <w:pPr>
        <w:tabs>
          <w:tab w:val="num" w:pos="2880"/>
        </w:tabs>
        <w:ind w:left="2880" w:hanging="360"/>
      </w:pPr>
      <w:rPr>
        <w:rFonts w:ascii="Arial" w:hAnsi="Arial" w:hint="default"/>
      </w:rPr>
    </w:lvl>
    <w:lvl w:ilvl="4" w:tplc="671ACBFE" w:tentative="1">
      <w:start w:val="1"/>
      <w:numFmt w:val="bullet"/>
      <w:lvlText w:val="•"/>
      <w:lvlJc w:val="left"/>
      <w:pPr>
        <w:tabs>
          <w:tab w:val="num" w:pos="3600"/>
        </w:tabs>
        <w:ind w:left="3600" w:hanging="360"/>
      </w:pPr>
      <w:rPr>
        <w:rFonts w:ascii="Arial" w:hAnsi="Arial" w:hint="default"/>
      </w:rPr>
    </w:lvl>
    <w:lvl w:ilvl="5" w:tplc="7B7E2D2A" w:tentative="1">
      <w:start w:val="1"/>
      <w:numFmt w:val="bullet"/>
      <w:lvlText w:val="•"/>
      <w:lvlJc w:val="left"/>
      <w:pPr>
        <w:tabs>
          <w:tab w:val="num" w:pos="4320"/>
        </w:tabs>
        <w:ind w:left="4320" w:hanging="360"/>
      </w:pPr>
      <w:rPr>
        <w:rFonts w:ascii="Arial" w:hAnsi="Arial" w:hint="default"/>
      </w:rPr>
    </w:lvl>
    <w:lvl w:ilvl="6" w:tplc="F6407A44" w:tentative="1">
      <w:start w:val="1"/>
      <w:numFmt w:val="bullet"/>
      <w:lvlText w:val="•"/>
      <w:lvlJc w:val="left"/>
      <w:pPr>
        <w:tabs>
          <w:tab w:val="num" w:pos="5040"/>
        </w:tabs>
        <w:ind w:left="5040" w:hanging="360"/>
      </w:pPr>
      <w:rPr>
        <w:rFonts w:ascii="Arial" w:hAnsi="Arial" w:hint="default"/>
      </w:rPr>
    </w:lvl>
    <w:lvl w:ilvl="7" w:tplc="11BE08E8" w:tentative="1">
      <w:start w:val="1"/>
      <w:numFmt w:val="bullet"/>
      <w:lvlText w:val="•"/>
      <w:lvlJc w:val="left"/>
      <w:pPr>
        <w:tabs>
          <w:tab w:val="num" w:pos="5760"/>
        </w:tabs>
        <w:ind w:left="5760" w:hanging="360"/>
      </w:pPr>
      <w:rPr>
        <w:rFonts w:ascii="Arial" w:hAnsi="Arial" w:hint="default"/>
      </w:rPr>
    </w:lvl>
    <w:lvl w:ilvl="8" w:tplc="1250E3D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8B12D0D"/>
    <w:multiLevelType w:val="multilevel"/>
    <w:tmpl w:val="1A802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4D0B0C"/>
    <w:multiLevelType w:val="hybridMultilevel"/>
    <w:tmpl w:val="7F346FBE"/>
    <w:lvl w:ilvl="0" w:tplc="0C09000F">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BC64EF2"/>
    <w:multiLevelType w:val="hybridMultilevel"/>
    <w:tmpl w:val="D29094C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1" w15:restartNumberingAfterBreak="0">
    <w:nsid w:val="3D180DEC"/>
    <w:multiLevelType w:val="multilevel"/>
    <w:tmpl w:val="B5F86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013534E"/>
    <w:multiLevelType w:val="multilevel"/>
    <w:tmpl w:val="0CD6E222"/>
    <w:styleLink w:val="TableNumbers"/>
    <w:lvl w:ilvl="0">
      <w:start w:val="1"/>
      <w:numFmt w:val="decimal"/>
      <w:pStyle w:val="TableListNumber"/>
      <w:lvlText w:val="%1."/>
      <w:lvlJc w:val="left"/>
      <w:pPr>
        <w:ind w:left="227" w:hanging="227"/>
      </w:pPr>
      <w:rPr>
        <w:rFonts w:hint="default"/>
      </w:rPr>
    </w:lvl>
    <w:lvl w:ilvl="1">
      <w:start w:val="1"/>
      <w:numFmt w:val="lowerLetter"/>
      <w:pStyle w:val="TableListNumber2"/>
      <w:lvlText w:val="%2."/>
      <w:lvlJc w:val="left"/>
      <w:pPr>
        <w:ind w:left="454" w:hanging="227"/>
      </w:pPr>
      <w:rPr>
        <w:rFonts w:hint="default"/>
      </w:rPr>
    </w:lvl>
    <w:lvl w:ilvl="2">
      <w:start w:val="1"/>
      <w:numFmt w:val="lowerRoman"/>
      <w:pStyle w:val="TableListNumber3"/>
      <w:lvlText w:val="%3."/>
      <w:lvlJc w:val="left"/>
      <w:pPr>
        <w:ind w:left="680" w:hanging="226"/>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408F6481"/>
    <w:multiLevelType w:val="multilevel"/>
    <w:tmpl w:val="FDD2F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0D14D24"/>
    <w:multiLevelType w:val="hybridMultilevel"/>
    <w:tmpl w:val="3BA0F4E8"/>
    <w:lvl w:ilvl="0" w:tplc="9DDCA486">
      <w:start w:val="1"/>
      <w:numFmt w:val="bullet"/>
      <w:lvlText w:val=""/>
      <w:lvlJc w:val="left"/>
      <w:pPr>
        <w:ind w:left="763" w:hanging="360"/>
      </w:pPr>
      <w:rPr>
        <w:rFonts w:ascii="Symbol" w:hAnsi="Symbol" w:hint="default"/>
        <w:color w:val="00B0F0"/>
      </w:rPr>
    </w:lvl>
    <w:lvl w:ilvl="1" w:tplc="0C090003">
      <w:start w:val="1"/>
      <w:numFmt w:val="bullet"/>
      <w:lvlText w:val="o"/>
      <w:lvlJc w:val="left"/>
      <w:pPr>
        <w:ind w:left="1483" w:hanging="360"/>
      </w:pPr>
      <w:rPr>
        <w:rFonts w:ascii="Courier New" w:hAnsi="Courier New" w:cs="Courier New" w:hint="default"/>
      </w:rPr>
    </w:lvl>
    <w:lvl w:ilvl="2" w:tplc="0C090005">
      <w:start w:val="1"/>
      <w:numFmt w:val="bullet"/>
      <w:lvlText w:val=""/>
      <w:lvlJc w:val="left"/>
      <w:pPr>
        <w:ind w:left="2203" w:hanging="360"/>
      </w:pPr>
      <w:rPr>
        <w:rFonts w:ascii="Wingdings" w:hAnsi="Wingdings" w:hint="default"/>
      </w:rPr>
    </w:lvl>
    <w:lvl w:ilvl="3" w:tplc="0C090001">
      <w:start w:val="1"/>
      <w:numFmt w:val="bullet"/>
      <w:lvlText w:val=""/>
      <w:lvlJc w:val="left"/>
      <w:pPr>
        <w:ind w:left="2923" w:hanging="360"/>
      </w:pPr>
      <w:rPr>
        <w:rFonts w:ascii="Symbol" w:hAnsi="Symbol" w:hint="default"/>
      </w:rPr>
    </w:lvl>
    <w:lvl w:ilvl="4" w:tplc="0C090003">
      <w:start w:val="1"/>
      <w:numFmt w:val="bullet"/>
      <w:lvlText w:val="o"/>
      <w:lvlJc w:val="left"/>
      <w:pPr>
        <w:ind w:left="3643" w:hanging="360"/>
      </w:pPr>
      <w:rPr>
        <w:rFonts w:ascii="Courier New" w:hAnsi="Courier New" w:cs="Courier New" w:hint="default"/>
      </w:rPr>
    </w:lvl>
    <w:lvl w:ilvl="5" w:tplc="0C090005">
      <w:start w:val="1"/>
      <w:numFmt w:val="bullet"/>
      <w:lvlText w:val=""/>
      <w:lvlJc w:val="left"/>
      <w:pPr>
        <w:ind w:left="4363" w:hanging="360"/>
      </w:pPr>
      <w:rPr>
        <w:rFonts w:ascii="Wingdings" w:hAnsi="Wingdings" w:hint="default"/>
      </w:rPr>
    </w:lvl>
    <w:lvl w:ilvl="6" w:tplc="0C090001">
      <w:start w:val="1"/>
      <w:numFmt w:val="bullet"/>
      <w:lvlText w:val=""/>
      <w:lvlJc w:val="left"/>
      <w:pPr>
        <w:ind w:left="5083" w:hanging="360"/>
      </w:pPr>
      <w:rPr>
        <w:rFonts w:ascii="Symbol" w:hAnsi="Symbol" w:hint="default"/>
      </w:rPr>
    </w:lvl>
    <w:lvl w:ilvl="7" w:tplc="0C090003">
      <w:start w:val="1"/>
      <w:numFmt w:val="bullet"/>
      <w:lvlText w:val="o"/>
      <w:lvlJc w:val="left"/>
      <w:pPr>
        <w:ind w:left="5803" w:hanging="360"/>
      </w:pPr>
      <w:rPr>
        <w:rFonts w:ascii="Courier New" w:hAnsi="Courier New" w:cs="Courier New" w:hint="default"/>
      </w:rPr>
    </w:lvl>
    <w:lvl w:ilvl="8" w:tplc="0C090005">
      <w:start w:val="1"/>
      <w:numFmt w:val="bullet"/>
      <w:lvlText w:val=""/>
      <w:lvlJc w:val="left"/>
      <w:pPr>
        <w:ind w:left="6523" w:hanging="360"/>
      </w:pPr>
      <w:rPr>
        <w:rFonts w:ascii="Wingdings" w:hAnsi="Wingdings" w:hint="default"/>
      </w:rPr>
    </w:lvl>
  </w:abstractNum>
  <w:abstractNum w:abstractNumId="35" w15:restartNumberingAfterBreak="0">
    <w:nsid w:val="42E50923"/>
    <w:multiLevelType w:val="hybridMultilevel"/>
    <w:tmpl w:val="6C06C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0465C8"/>
    <w:multiLevelType w:val="hybridMultilevel"/>
    <w:tmpl w:val="E93C2BBC"/>
    <w:lvl w:ilvl="0" w:tplc="0F0A3280">
      <w:start w:val="2"/>
      <w:numFmt w:val="bullet"/>
      <w:lvlText w:val="-"/>
      <w:lvlJc w:val="left"/>
      <w:pPr>
        <w:ind w:left="720" w:hanging="360"/>
      </w:pPr>
      <w:rPr>
        <w:rFonts w:ascii="Poppins" w:eastAsia="SimSun" w:hAnsi="Poppins" w:cs="Poppi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9EB5624"/>
    <w:multiLevelType w:val="hybridMultilevel"/>
    <w:tmpl w:val="FFFFFFFF"/>
    <w:lvl w:ilvl="0" w:tplc="505C4D24">
      <w:start w:val="1"/>
      <w:numFmt w:val="bullet"/>
      <w:lvlText w:val=""/>
      <w:lvlJc w:val="left"/>
      <w:pPr>
        <w:ind w:left="720" w:hanging="360"/>
      </w:pPr>
      <w:rPr>
        <w:rFonts w:ascii="Symbol" w:hAnsi="Symbol" w:hint="default"/>
      </w:rPr>
    </w:lvl>
    <w:lvl w:ilvl="1" w:tplc="B7443052">
      <w:start w:val="1"/>
      <w:numFmt w:val="bullet"/>
      <w:lvlText w:val="o"/>
      <w:lvlJc w:val="left"/>
      <w:pPr>
        <w:ind w:left="1440" w:hanging="360"/>
      </w:pPr>
      <w:rPr>
        <w:rFonts w:ascii="Courier New" w:hAnsi="Courier New" w:hint="default"/>
      </w:rPr>
    </w:lvl>
    <w:lvl w:ilvl="2" w:tplc="21E019AA">
      <w:start w:val="1"/>
      <w:numFmt w:val="bullet"/>
      <w:lvlText w:val=""/>
      <w:lvlJc w:val="left"/>
      <w:pPr>
        <w:ind w:left="2160" w:hanging="360"/>
      </w:pPr>
      <w:rPr>
        <w:rFonts w:ascii="Wingdings" w:hAnsi="Wingdings" w:hint="default"/>
      </w:rPr>
    </w:lvl>
    <w:lvl w:ilvl="3" w:tplc="00949514">
      <w:start w:val="1"/>
      <w:numFmt w:val="bullet"/>
      <w:lvlText w:val=""/>
      <w:lvlJc w:val="left"/>
      <w:pPr>
        <w:ind w:left="2880" w:hanging="360"/>
      </w:pPr>
      <w:rPr>
        <w:rFonts w:ascii="Symbol" w:hAnsi="Symbol" w:hint="default"/>
      </w:rPr>
    </w:lvl>
    <w:lvl w:ilvl="4" w:tplc="8FB8EE0C">
      <w:start w:val="1"/>
      <w:numFmt w:val="bullet"/>
      <w:lvlText w:val="o"/>
      <w:lvlJc w:val="left"/>
      <w:pPr>
        <w:ind w:left="3600" w:hanging="360"/>
      </w:pPr>
      <w:rPr>
        <w:rFonts w:ascii="Courier New" w:hAnsi="Courier New" w:hint="default"/>
      </w:rPr>
    </w:lvl>
    <w:lvl w:ilvl="5" w:tplc="EC52A16C">
      <w:start w:val="1"/>
      <w:numFmt w:val="bullet"/>
      <w:lvlText w:val=""/>
      <w:lvlJc w:val="left"/>
      <w:pPr>
        <w:ind w:left="4320" w:hanging="360"/>
      </w:pPr>
      <w:rPr>
        <w:rFonts w:ascii="Wingdings" w:hAnsi="Wingdings" w:hint="default"/>
      </w:rPr>
    </w:lvl>
    <w:lvl w:ilvl="6" w:tplc="34503C48">
      <w:start w:val="1"/>
      <w:numFmt w:val="bullet"/>
      <w:lvlText w:val=""/>
      <w:lvlJc w:val="left"/>
      <w:pPr>
        <w:ind w:left="5040" w:hanging="360"/>
      </w:pPr>
      <w:rPr>
        <w:rFonts w:ascii="Symbol" w:hAnsi="Symbol" w:hint="default"/>
      </w:rPr>
    </w:lvl>
    <w:lvl w:ilvl="7" w:tplc="252C54DE">
      <w:start w:val="1"/>
      <w:numFmt w:val="bullet"/>
      <w:lvlText w:val="o"/>
      <w:lvlJc w:val="left"/>
      <w:pPr>
        <w:ind w:left="5760" w:hanging="360"/>
      </w:pPr>
      <w:rPr>
        <w:rFonts w:ascii="Courier New" w:hAnsi="Courier New" w:hint="default"/>
      </w:rPr>
    </w:lvl>
    <w:lvl w:ilvl="8" w:tplc="2A7E6798">
      <w:start w:val="1"/>
      <w:numFmt w:val="bullet"/>
      <w:lvlText w:val=""/>
      <w:lvlJc w:val="left"/>
      <w:pPr>
        <w:ind w:left="6480" w:hanging="360"/>
      </w:pPr>
      <w:rPr>
        <w:rFonts w:ascii="Wingdings" w:hAnsi="Wingdings" w:hint="default"/>
      </w:rPr>
    </w:lvl>
  </w:abstractNum>
  <w:abstractNum w:abstractNumId="38" w15:restartNumberingAfterBreak="0">
    <w:nsid w:val="4FB04D13"/>
    <w:multiLevelType w:val="multilevel"/>
    <w:tmpl w:val="3476DE6E"/>
    <w:numStyleLink w:val="Bullets"/>
  </w:abstractNum>
  <w:abstractNum w:abstractNumId="39" w15:restartNumberingAfterBreak="0">
    <w:nsid w:val="50947EF9"/>
    <w:multiLevelType w:val="multilevel"/>
    <w:tmpl w:val="394C63CA"/>
    <w:lvl w:ilvl="0">
      <w:start w:val="1"/>
      <w:numFmt w:val="bullet"/>
      <w:lvlText w:val=""/>
      <w:lvlJc w:val="left"/>
      <w:pPr>
        <w:tabs>
          <w:tab w:val="num" w:pos="360"/>
        </w:tabs>
        <w:ind w:left="360" w:hanging="360"/>
      </w:pPr>
      <w:rPr>
        <w:rFonts w:ascii="Wingdings" w:hAnsi="Wingdings" w:hint="default"/>
        <w:sz w:val="20"/>
      </w:rPr>
    </w:lvl>
    <w:lvl w:ilvl="1">
      <w:start w:val="6"/>
      <w:numFmt w:val="decimal"/>
      <w:lvlText w:val="%2."/>
      <w:lvlJc w:val="left"/>
      <w:pPr>
        <w:ind w:left="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50D827FB"/>
    <w:multiLevelType w:val="multilevel"/>
    <w:tmpl w:val="AF6674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776987"/>
    <w:multiLevelType w:val="multilevel"/>
    <w:tmpl w:val="43884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297430B"/>
    <w:multiLevelType w:val="multilevel"/>
    <w:tmpl w:val="67D6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2F00B88"/>
    <w:multiLevelType w:val="hybridMultilevel"/>
    <w:tmpl w:val="31980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3B61790"/>
    <w:multiLevelType w:val="hybridMultilevel"/>
    <w:tmpl w:val="FFFFFFFF"/>
    <w:lvl w:ilvl="0" w:tplc="706A2644">
      <w:start w:val="1"/>
      <w:numFmt w:val="bullet"/>
      <w:lvlText w:val=""/>
      <w:lvlJc w:val="left"/>
      <w:pPr>
        <w:ind w:left="720" w:hanging="360"/>
      </w:pPr>
      <w:rPr>
        <w:rFonts w:ascii="Symbol" w:hAnsi="Symbol" w:hint="default"/>
      </w:rPr>
    </w:lvl>
    <w:lvl w:ilvl="1" w:tplc="758E58C8">
      <w:start w:val="1"/>
      <w:numFmt w:val="bullet"/>
      <w:lvlText w:val="o"/>
      <w:lvlJc w:val="left"/>
      <w:pPr>
        <w:ind w:left="1440" w:hanging="360"/>
      </w:pPr>
      <w:rPr>
        <w:rFonts w:ascii="Courier New" w:hAnsi="Courier New" w:hint="default"/>
      </w:rPr>
    </w:lvl>
    <w:lvl w:ilvl="2" w:tplc="465CA50E">
      <w:start w:val="1"/>
      <w:numFmt w:val="bullet"/>
      <w:lvlText w:val=""/>
      <w:lvlJc w:val="left"/>
      <w:pPr>
        <w:ind w:left="2160" w:hanging="360"/>
      </w:pPr>
      <w:rPr>
        <w:rFonts w:ascii="Wingdings" w:hAnsi="Wingdings" w:hint="default"/>
      </w:rPr>
    </w:lvl>
    <w:lvl w:ilvl="3" w:tplc="A6CC4A5E">
      <w:start w:val="1"/>
      <w:numFmt w:val="bullet"/>
      <w:lvlText w:val=""/>
      <w:lvlJc w:val="left"/>
      <w:pPr>
        <w:ind w:left="2880" w:hanging="360"/>
      </w:pPr>
      <w:rPr>
        <w:rFonts w:ascii="Symbol" w:hAnsi="Symbol" w:hint="default"/>
      </w:rPr>
    </w:lvl>
    <w:lvl w:ilvl="4" w:tplc="5BAA2628">
      <w:start w:val="1"/>
      <w:numFmt w:val="bullet"/>
      <w:lvlText w:val="o"/>
      <w:lvlJc w:val="left"/>
      <w:pPr>
        <w:ind w:left="3600" w:hanging="360"/>
      </w:pPr>
      <w:rPr>
        <w:rFonts w:ascii="Courier New" w:hAnsi="Courier New" w:hint="default"/>
      </w:rPr>
    </w:lvl>
    <w:lvl w:ilvl="5" w:tplc="123CDCB8">
      <w:start w:val="1"/>
      <w:numFmt w:val="bullet"/>
      <w:lvlText w:val=""/>
      <w:lvlJc w:val="left"/>
      <w:pPr>
        <w:ind w:left="4320" w:hanging="360"/>
      </w:pPr>
      <w:rPr>
        <w:rFonts w:ascii="Wingdings" w:hAnsi="Wingdings" w:hint="default"/>
      </w:rPr>
    </w:lvl>
    <w:lvl w:ilvl="6" w:tplc="0044A94E">
      <w:start w:val="1"/>
      <w:numFmt w:val="bullet"/>
      <w:lvlText w:val=""/>
      <w:lvlJc w:val="left"/>
      <w:pPr>
        <w:ind w:left="5040" w:hanging="360"/>
      </w:pPr>
      <w:rPr>
        <w:rFonts w:ascii="Symbol" w:hAnsi="Symbol" w:hint="default"/>
      </w:rPr>
    </w:lvl>
    <w:lvl w:ilvl="7" w:tplc="B87E3BA0">
      <w:start w:val="1"/>
      <w:numFmt w:val="bullet"/>
      <w:lvlText w:val="o"/>
      <w:lvlJc w:val="left"/>
      <w:pPr>
        <w:ind w:left="5760" w:hanging="360"/>
      </w:pPr>
      <w:rPr>
        <w:rFonts w:ascii="Courier New" w:hAnsi="Courier New" w:hint="default"/>
      </w:rPr>
    </w:lvl>
    <w:lvl w:ilvl="8" w:tplc="E5E879CE">
      <w:start w:val="1"/>
      <w:numFmt w:val="bullet"/>
      <w:lvlText w:val=""/>
      <w:lvlJc w:val="left"/>
      <w:pPr>
        <w:ind w:left="6480" w:hanging="360"/>
      </w:pPr>
      <w:rPr>
        <w:rFonts w:ascii="Wingdings" w:hAnsi="Wingdings" w:hint="default"/>
      </w:rPr>
    </w:lvl>
  </w:abstractNum>
  <w:abstractNum w:abstractNumId="45" w15:restartNumberingAfterBreak="0">
    <w:nsid w:val="54AA5887"/>
    <w:multiLevelType w:val="multilevel"/>
    <w:tmpl w:val="45402EF2"/>
    <w:styleLink w:val="TableBullets"/>
    <w:lvl w:ilvl="0">
      <w:start w:val="1"/>
      <w:numFmt w:val="bullet"/>
      <w:pStyle w:val="TableBullet"/>
      <w:lvlText w:val=""/>
      <w:lvlJc w:val="left"/>
      <w:pPr>
        <w:ind w:left="227" w:hanging="227"/>
      </w:pPr>
      <w:rPr>
        <w:rFonts w:ascii="Wingdings" w:hAnsi="Wingdings" w:hint="default"/>
        <w:color w:val="auto"/>
      </w:rPr>
    </w:lvl>
    <w:lvl w:ilvl="1">
      <w:start w:val="1"/>
      <w:numFmt w:val="bullet"/>
      <w:pStyle w:val="TableBullet2"/>
      <w:lvlText w:val=""/>
      <w:lvlJc w:val="left"/>
      <w:pPr>
        <w:ind w:left="454" w:hanging="227"/>
      </w:pPr>
      <w:rPr>
        <w:rFonts w:ascii="Symbol" w:hAnsi="Symbol" w:hint="default"/>
        <w:color w:val="auto"/>
      </w:rPr>
    </w:lvl>
    <w:lvl w:ilvl="2">
      <w:start w:val="1"/>
      <w:numFmt w:val="bullet"/>
      <w:pStyle w:val="TableBullet3"/>
      <w:lvlText w:val=""/>
      <w:lvlJc w:val="left"/>
      <w:pPr>
        <w:ind w:left="680" w:hanging="226"/>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6" w15:restartNumberingAfterBreak="0">
    <w:nsid w:val="54E1086B"/>
    <w:multiLevelType w:val="multilevel"/>
    <w:tmpl w:val="C0E0FE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7A77B56"/>
    <w:multiLevelType w:val="multilevel"/>
    <w:tmpl w:val="E96E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E1169EA"/>
    <w:multiLevelType w:val="hybridMultilevel"/>
    <w:tmpl w:val="9F96D602"/>
    <w:lvl w:ilvl="0" w:tplc="0C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9" w15:restartNumberingAfterBreak="0">
    <w:nsid w:val="5FEB73DE"/>
    <w:multiLevelType w:val="multilevel"/>
    <w:tmpl w:val="B442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0532161"/>
    <w:multiLevelType w:val="hybridMultilevel"/>
    <w:tmpl w:val="58DC6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2040CF1"/>
    <w:multiLevelType w:val="multilevel"/>
    <w:tmpl w:val="65FCC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30511D1"/>
    <w:multiLevelType w:val="multilevel"/>
    <w:tmpl w:val="49BE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5C6256B"/>
    <w:multiLevelType w:val="multilevel"/>
    <w:tmpl w:val="A1BAFB3C"/>
    <w:styleLink w:val="AppendixHeading"/>
    <w:lvl w:ilvl="0">
      <w:start w:val="1"/>
      <w:numFmt w:val="upperLetter"/>
      <w:pStyle w:val="Appendix"/>
      <w:lvlText w:val="Appendix %1"/>
      <w:lvlJc w:val="left"/>
      <w:pPr>
        <w:ind w:left="1701" w:hanging="1701"/>
      </w:pPr>
      <w:rPr>
        <w:rFonts w:hint="default"/>
      </w:rPr>
    </w:lvl>
    <w:lvl w:ilvl="1">
      <w:start w:val="1"/>
      <w:numFmt w:val="decimal"/>
      <w:pStyle w:val="AppendixSubheading"/>
      <w:lvlText w:val="%1.%2"/>
      <w:lvlJc w:val="left"/>
      <w:pPr>
        <w:ind w:left="680" w:hanging="68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4" w15:restartNumberingAfterBreak="0">
    <w:nsid w:val="66E0711C"/>
    <w:multiLevelType w:val="multilevel"/>
    <w:tmpl w:val="FB5C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79E5CB0"/>
    <w:multiLevelType w:val="multilevel"/>
    <w:tmpl w:val="2AF0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8AF4376"/>
    <w:multiLevelType w:val="hybridMultilevel"/>
    <w:tmpl w:val="7F90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9896E4E"/>
    <w:multiLevelType w:val="multilevel"/>
    <w:tmpl w:val="F2727F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 w15:restartNumberingAfterBreak="0">
    <w:nsid w:val="6A0334E2"/>
    <w:multiLevelType w:val="hybridMultilevel"/>
    <w:tmpl w:val="F0967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C000A89"/>
    <w:multiLevelType w:val="multilevel"/>
    <w:tmpl w:val="814818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C7B78D6"/>
    <w:multiLevelType w:val="hybridMultilevel"/>
    <w:tmpl w:val="F17CA9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CAB190D"/>
    <w:multiLevelType w:val="multilevel"/>
    <w:tmpl w:val="7F8A7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E1E4130"/>
    <w:multiLevelType w:val="hybridMultilevel"/>
    <w:tmpl w:val="4DEE25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E284FA9"/>
    <w:multiLevelType w:val="multilevel"/>
    <w:tmpl w:val="BBF0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4F640C1"/>
    <w:multiLevelType w:val="multilevel"/>
    <w:tmpl w:val="564E3F7A"/>
    <w:styleLink w:val="NumberedHeadings"/>
    <w:lvl w:ilvl="0">
      <w:start w:val="1"/>
      <w:numFmt w:val="decimal"/>
      <w:pStyle w:val="Heading1Numbered"/>
      <w:lvlText w:val="%1"/>
      <w:lvlJc w:val="left"/>
      <w:pPr>
        <w:ind w:left="680" w:hanging="680"/>
      </w:pPr>
      <w:rPr>
        <w:rFonts w:hint="default"/>
        <w:color w:val="889EA6" w:themeColor="accent4"/>
      </w:rPr>
    </w:lvl>
    <w:lvl w:ilvl="1">
      <w:start w:val="1"/>
      <w:numFmt w:val="decimal"/>
      <w:pStyle w:val="Heading2Numbered"/>
      <w:lvlText w:val="%1.%2"/>
      <w:lvlJc w:val="left"/>
      <w:pPr>
        <w:ind w:left="680" w:hanging="680"/>
      </w:pPr>
      <w:rPr>
        <w:rFonts w:hint="default"/>
        <w:color w:val="D5C8B6" w:themeColor="accent3"/>
      </w:rPr>
    </w:lvl>
    <w:lvl w:ilvl="2">
      <w:start w:val="1"/>
      <w:numFmt w:val="decimal"/>
      <w:pStyle w:val="Heading3Numbered"/>
      <w:lvlText w:val="%1.%2.%3"/>
      <w:lvlJc w:val="left"/>
      <w:pPr>
        <w:ind w:left="680" w:hanging="680"/>
      </w:pPr>
      <w:rPr>
        <w:rFonts w:hint="default"/>
        <w:color w:val="B8D0EC" w:themeColor="accent5"/>
      </w:rPr>
    </w:lvl>
    <w:lvl w:ilvl="3">
      <w:start w:val="1"/>
      <w:numFmt w:val="none"/>
      <w:lvlText w:val=""/>
      <w:lvlJc w:val="left"/>
      <w:pPr>
        <w:tabs>
          <w:tab w:val="num" w:pos="851"/>
        </w:tabs>
        <w:ind w:left="0" w:firstLine="0"/>
      </w:pPr>
      <w:rPr>
        <w:rFonts w:hint="default"/>
        <w:color w:val="979BC0"/>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65" w15:restartNumberingAfterBreak="0">
    <w:nsid w:val="75ED52BA"/>
    <w:multiLevelType w:val="hybridMultilevel"/>
    <w:tmpl w:val="E0885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8646B57"/>
    <w:multiLevelType w:val="multilevel"/>
    <w:tmpl w:val="ED6602CE"/>
    <w:styleLink w:val="ClientBullets"/>
    <w:lvl w:ilvl="0">
      <w:start w:val="1"/>
      <w:numFmt w:val="decimal"/>
      <w:lvlText w:val="%1."/>
      <w:lvlJc w:val="left"/>
      <w:pPr>
        <w:ind w:left="1060" w:hanging="357"/>
      </w:pPr>
      <w:rPr>
        <w:rFonts w:asciiTheme="majorHAnsi" w:hAnsiTheme="majorHAnsi" w:hint="default"/>
        <w:b/>
        <w:i w:val="0"/>
        <w:color w:val="D5C8B6" w:themeColor="accent3"/>
        <w:sz w:val="22"/>
      </w:rPr>
    </w:lvl>
    <w:lvl w:ilvl="1">
      <w:start w:val="1"/>
      <w:numFmt w:val="lowerLetter"/>
      <w:lvlText w:val="%2."/>
      <w:lvlJc w:val="left"/>
      <w:pPr>
        <w:ind w:left="1684" w:hanging="357"/>
      </w:pPr>
      <w:rPr>
        <w:rFonts w:asciiTheme="majorHAnsi" w:hAnsiTheme="majorHAnsi" w:hint="default"/>
        <w:b w:val="0"/>
        <w:i w:val="0"/>
        <w:color w:val="D5C8B6" w:themeColor="accent3"/>
        <w:sz w:val="22"/>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7" w15:restartNumberingAfterBreak="0">
    <w:nsid w:val="790D34E2"/>
    <w:multiLevelType w:val="multilevel"/>
    <w:tmpl w:val="0882A5A6"/>
    <w:lvl w:ilvl="0">
      <w:start w:val="1"/>
      <w:numFmt w:val="bullet"/>
      <w:lvlText w:val=""/>
      <w:lvlJc w:val="left"/>
      <w:pPr>
        <w:tabs>
          <w:tab w:val="num" w:pos="2629"/>
        </w:tabs>
        <w:ind w:left="2629" w:hanging="360"/>
      </w:pPr>
      <w:rPr>
        <w:rFonts w:ascii="Symbol" w:hAnsi="Symbol" w:hint="default"/>
        <w:sz w:val="20"/>
      </w:rPr>
    </w:lvl>
    <w:lvl w:ilvl="1" w:tentative="1">
      <w:start w:val="1"/>
      <w:numFmt w:val="bullet"/>
      <w:lvlText w:val=""/>
      <w:lvlJc w:val="left"/>
      <w:pPr>
        <w:tabs>
          <w:tab w:val="num" w:pos="3349"/>
        </w:tabs>
        <w:ind w:left="3349" w:hanging="360"/>
      </w:pPr>
      <w:rPr>
        <w:rFonts w:ascii="Symbol" w:hAnsi="Symbol" w:hint="default"/>
        <w:sz w:val="20"/>
      </w:rPr>
    </w:lvl>
    <w:lvl w:ilvl="2" w:tentative="1">
      <w:start w:val="1"/>
      <w:numFmt w:val="bullet"/>
      <w:lvlText w:val=""/>
      <w:lvlJc w:val="left"/>
      <w:pPr>
        <w:tabs>
          <w:tab w:val="num" w:pos="4069"/>
        </w:tabs>
        <w:ind w:left="4069" w:hanging="360"/>
      </w:pPr>
      <w:rPr>
        <w:rFonts w:ascii="Symbol" w:hAnsi="Symbol" w:hint="default"/>
        <w:sz w:val="20"/>
      </w:rPr>
    </w:lvl>
    <w:lvl w:ilvl="3" w:tentative="1">
      <w:start w:val="1"/>
      <w:numFmt w:val="bullet"/>
      <w:lvlText w:val=""/>
      <w:lvlJc w:val="left"/>
      <w:pPr>
        <w:tabs>
          <w:tab w:val="num" w:pos="4789"/>
        </w:tabs>
        <w:ind w:left="4789" w:hanging="360"/>
      </w:pPr>
      <w:rPr>
        <w:rFonts w:ascii="Symbol" w:hAnsi="Symbol" w:hint="default"/>
        <w:sz w:val="20"/>
      </w:rPr>
    </w:lvl>
    <w:lvl w:ilvl="4" w:tentative="1">
      <w:start w:val="1"/>
      <w:numFmt w:val="bullet"/>
      <w:lvlText w:val=""/>
      <w:lvlJc w:val="left"/>
      <w:pPr>
        <w:tabs>
          <w:tab w:val="num" w:pos="5509"/>
        </w:tabs>
        <w:ind w:left="5509" w:hanging="360"/>
      </w:pPr>
      <w:rPr>
        <w:rFonts w:ascii="Symbol" w:hAnsi="Symbol" w:hint="default"/>
        <w:sz w:val="20"/>
      </w:rPr>
    </w:lvl>
    <w:lvl w:ilvl="5" w:tentative="1">
      <w:start w:val="1"/>
      <w:numFmt w:val="bullet"/>
      <w:lvlText w:val=""/>
      <w:lvlJc w:val="left"/>
      <w:pPr>
        <w:tabs>
          <w:tab w:val="num" w:pos="6229"/>
        </w:tabs>
        <w:ind w:left="6229" w:hanging="360"/>
      </w:pPr>
      <w:rPr>
        <w:rFonts w:ascii="Symbol" w:hAnsi="Symbol" w:hint="default"/>
        <w:sz w:val="20"/>
      </w:rPr>
    </w:lvl>
    <w:lvl w:ilvl="6" w:tentative="1">
      <w:start w:val="1"/>
      <w:numFmt w:val="bullet"/>
      <w:lvlText w:val=""/>
      <w:lvlJc w:val="left"/>
      <w:pPr>
        <w:tabs>
          <w:tab w:val="num" w:pos="6949"/>
        </w:tabs>
        <w:ind w:left="6949" w:hanging="360"/>
      </w:pPr>
      <w:rPr>
        <w:rFonts w:ascii="Symbol" w:hAnsi="Symbol" w:hint="default"/>
        <w:sz w:val="20"/>
      </w:rPr>
    </w:lvl>
    <w:lvl w:ilvl="7" w:tentative="1">
      <w:start w:val="1"/>
      <w:numFmt w:val="bullet"/>
      <w:lvlText w:val=""/>
      <w:lvlJc w:val="left"/>
      <w:pPr>
        <w:tabs>
          <w:tab w:val="num" w:pos="7669"/>
        </w:tabs>
        <w:ind w:left="7669" w:hanging="360"/>
      </w:pPr>
      <w:rPr>
        <w:rFonts w:ascii="Symbol" w:hAnsi="Symbol" w:hint="default"/>
        <w:sz w:val="20"/>
      </w:rPr>
    </w:lvl>
    <w:lvl w:ilvl="8" w:tentative="1">
      <w:start w:val="1"/>
      <w:numFmt w:val="bullet"/>
      <w:lvlText w:val=""/>
      <w:lvlJc w:val="left"/>
      <w:pPr>
        <w:tabs>
          <w:tab w:val="num" w:pos="8389"/>
        </w:tabs>
        <w:ind w:left="8389" w:hanging="360"/>
      </w:pPr>
      <w:rPr>
        <w:rFonts w:ascii="Symbol" w:hAnsi="Symbol" w:hint="default"/>
        <w:sz w:val="20"/>
      </w:rPr>
    </w:lvl>
  </w:abstractNum>
  <w:abstractNum w:abstractNumId="68" w15:restartNumberingAfterBreak="0">
    <w:nsid w:val="7DFB61FC"/>
    <w:multiLevelType w:val="multilevel"/>
    <w:tmpl w:val="AF6674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F0943CF"/>
    <w:multiLevelType w:val="multilevel"/>
    <w:tmpl w:val="3D6A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FB352C1"/>
    <w:multiLevelType w:val="multilevel"/>
    <w:tmpl w:val="2BB62ACC"/>
    <w:styleLink w:val="ListNumbers"/>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tabs>
          <w:tab w:val="num" w:pos="340"/>
        </w:tabs>
        <w:ind w:left="680" w:hanging="340"/>
      </w:pPr>
      <w:rPr>
        <w:rFonts w:hint="default"/>
      </w:rPr>
    </w:lvl>
    <w:lvl w:ilvl="2">
      <w:start w:val="1"/>
      <w:numFmt w:val="lowerRoman"/>
      <w:pStyle w:val="ListNumber3"/>
      <w:lvlText w:val="%3."/>
      <w:lvlJc w:val="left"/>
      <w:pPr>
        <w:tabs>
          <w:tab w:val="num" w:pos="680"/>
        </w:tabs>
        <w:ind w:left="1021" w:hanging="341"/>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16cid:durableId="157040114">
    <w:abstractNumId w:val="23"/>
  </w:num>
  <w:num w:numId="2" w16cid:durableId="1349520738">
    <w:abstractNumId w:val="64"/>
  </w:num>
  <w:num w:numId="3" w16cid:durableId="323512949">
    <w:abstractNumId w:val="70"/>
  </w:num>
  <w:num w:numId="4" w16cid:durableId="41176576">
    <w:abstractNumId w:val="53"/>
  </w:num>
  <w:num w:numId="5" w16cid:durableId="1343707023">
    <w:abstractNumId w:val="32"/>
  </w:num>
  <w:num w:numId="6" w16cid:durableId="664480972">
    <w:abstractNumId w:val="45"/>
  </w:num>
  <w:num w:numId="7" w16cid:durableId="1959602081">
    <w:abstractNumId w:val="53"/>
  </w:num>
  <w:num w:numId="8" w16cid:durableId="1596933582">
    <w:abstractNumId w:val="2"/>
  </w:num>
  <w:num w:numId="9" w16cid:durableId="1113403580">
    <w:abstractNumId w:val="38"/>
  </w:num>
  <w:num w:numId="10" w16cid:durableId="631519909">
    <w:abstractNumId w:val="9"/>
  </w:num>
  <w:num w:numId="11" w16cid:durableId="1628929621">
    <w:abstractNumId w:val="70"/>
  </w:num>
  <w:num w:numId="12" w16cid:durableId="1695692895">
    <w:abstractNumId w:val="64"/>
    <w:lvlOverride w:ilvl="0">
      <w:lvl w:ilvl="0">
        <w:start w:val="1"/>
        <w:numFmt w:val="decimal"/>
        <w:pStyle w:val="Heading1Numbered"/>
        <w:lvlText w:val="%1"/>
        <w:lvlJc w:val="left"/>
        <w:pPr>
          <w:ind w:left="680" w:hanging="680"/>
        </w:pPr>
        <w:rPr>
          <w:rFonts w:hint="default"/>
          <w:color w:val="000000" w:themeColor="text1"/>
        </w:rPr>
      </w:lvl>
    </w:lvlOverride>
    <w:lvlOverride w:ilvl="1">
      <w:lvl w:ilvl="1">
        <w:start w:val="1"/>
        <w:numFmt w:val="decimal"/>
        <w:pStyle w:val="Heading2Numbered"/>
        <w:lvlText w:val="%1.%2"/>
        <w:lvlJc w:val="left"/>
        <w:pPr>
          <w:ind w:left="680" w:hanging="680"/>
        </w:pPr>
        <w:rPr>
          <w:rFonts w:hint="default"/>
          <w:color w:val="D5C8B6" w:themeColor="accent3"/>
          <w:sz w:val="24"/>
          <w:szCs w:val="24"/>
        </w:rPr>
      </w:lvl>
    </w:lvlOverride>
  </w:num>
  <w:num w:numId="13" w16cid:durableId="1159272954">
    <w:abstractNumId w:val="4"/>
  </w:num>
  <w:num w:numId="14" w16cid:durableId="1775053950">
    <w:abstractNumId w:val="20"/>
  </w:num>
  <w:num w:numId="15" w16cid:durableId="1822884776">
    <w:abstractNumId w:val="45"/>
  </w:num>
  <w:num w:numId="16" w16cid:durableId="42608066">
    <w:abstractNumId w:val="32"/>
  </w:num>
  <w:num w:numId="17" w16cid:durableId="1068115695">
    <w:abstractNumId w:val="66"/>
  </w:num>
  <w:num w:numId="18" w16cid:durableId="2108884494">
    <w:abstractNumId w:val="22"/>
  </w:num>
  <w:num w:numId="19" w16cid:durableId="1708412924">
    <w:abstractNumId w:val="33"/>
  </w:num>
  <w:num w:numId="20" w16cid:durableId="1106270016">
    <w:abstractNumId w:val="67"/>
  </w:num>
  <w:num w:numId="21" w16cid:durableId="1360468200">
    <w:abstractNumId w:val="55"/>
  </w:num>
  <w:num w:numId="22" w16cid:durableId="262569146">
    <w:abstractNumId w:val="29"/>
  </w:num>
  <w:num w:numId="23" w16cid:durableId="793327841">
    <w:abstractNumId w:val="3"/>
  </w:num>
  <w:num w:numId="24" w16cid:durableId="1875776270">
    <w:abstractNumId w:val="49"/>
  </w:num>
  <w:num w:numId="25" w16cid:durableId="184557881">
    <w:abstractNumId w:val="31"/>
  </w:num>
  <w:num w:numId="26" w16cid:durableId="621807227">
    <w:abstractNumId w:val="41"/>
  </w:num>
  <w:num w:numId="27" w16cid:durableId="2147383376">
    <w:abstractNumId w:val="52"/>
  </w:num>
  <w:num w:numId="28" w16cid:durableId="1039016653">
    <w:abstractNumId w:val="54"/>
  </w:num>
  <w:num w:numId="29" w16cid:durableId="450979637">
    <w:abstractNumId w:val="46"/>
  </w:num>
  <w:num w:numId="30" w16cid:durableId="1422336451">
    <w:abstractNumId w:val="24"/>
  </w:num>
  <w:num w:numId="31" w16cid:durableId="1438065115">
    <w:abstractNumId w:val="16"/>
  </w:num>
  <w:num w:numId="32" w16cid:durableId="663552569">
    <w:abstractNumId w:val="17"/>
  </w:num>
  <w:num w:numId="33" w16cid:durableId="1411459799">
    <w:abstractNumId w:val="62"/>
  </w:num>
  <w:num w:numId="34" w16cid:durableId="826244083">
    <w:abstractNumId w:val="50"/>
  </w:num>
  <w:num w:numId="35" w16cid:durableId="1917519843">
    <w:abstractNumId w:val="35"/>
  </w:num>
  <w:num w:numId="36" w16cid:durableId="1997340950">
    <w:abstractNumId w:val="44"/>
  </w:num>
  <w:num w:numId="37" w16cid:durableId="909189719">
    <w:abstractNumId w:val="37"/>
  </w:num>
  <w:num w:numId="38" w16cid:durableId="269358944">
    <w:abstractNumId w:val="12"/>
  </w:num>
  <w:num w:numId="39" w16cid:durableId="1869291036">
    <w:abstractNumId w:val="61"/>
  </w:num>
  <w:num w:numId="40" w16cid:durableId="338122604">
    <w:abstractNumId w:val="64"/>
    <w:lvlOverride w:ilvl="0">
      <w:lvl w:ilvl="0">
        <w:start w:val="1"/>
        <w:numFmt w:val="decimal"/>
        <w:pStyle w:val="Heading1Numbered"/>
        <w:lvlText w:val="%1"/>
        <w:lvlJc w:val="left"/>
        <w:pPr>
          <w:ind w:left="680" w:hanging="680"/>
        </w:pPr>
        <w:rPr>
          <w:rFonts w:hint="default"/>
          <w:color w:val="000000" w:themeColor="text1"/>
        </w:rPr>
      </w:lvl>
    </w:lvlOverride>
    <w:lvlOverride w:ilvl="1">
      <w:lvl w:ilvl="1">
        <w:start w:val="1"/>
        <w:numFmt w:val="decimal"/>
        <w:pStyle w:val="Heading2Numbered"/>
        <w:lvlText w:val="%1.%2"/>
        <w:lvlJc w:val="left"/>
        <w:pPr>
          <w:ind w:left="680" w:hanging="680"/>
        </w:pPr>
        <w:rPr>
          <w:rFonts w:hint="default"/>
          <w:color w:val="D5C8B6" w:themeColor="accent3"/>
          <w:sz w:val="24"/>
          <w:szCs w:val="24"/>
        </w:rPr>
      </w:lvl>
    </w:lvlOverride>
  </w:num>
  <w:num w:numId="41" w16cid:durableId="701129697">
    <w:abstractNumId w:val="6"/>
  </w:num>
  <w:num w:numId="42" w16cid:durableId="1636763314">
    <w:abstractNumId w:val="36"/>
  </w:num>
  <w:num w:numId="43" w16cid:durableId="1223834653">
    <w:abstractNumId w:val="18"/>
  </w:num>
  <w:num w:numId="44" w16cid:durableId="1553430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9317091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6875747">
    <w:abstractNumId w:val="30"/>
  </w:num>
  <w:num w:numId="47" w16cid:durableId="1527600063">
    <w:abstractNumId w:val="69"/>
  </w:num>
  <w:num w:numId="48" w16cid:durableId="1897274666">
    <w:abstractNumId w:val="5"/>
  </w:num>
  <w:num w:numId="49" w16cid:durableId="702947610">
    <w:abstractNumId w:val="30"/>
  </w:num>
  <w:num w:numId="50" w16cid:durableId="95832988">
    <w:abstractNumId w:val="56"/>
  </w:num>
  <w:num w:numId="51" w16cid:durableId="8918060">
    <w:abstractNumId w:val="8"/>
  </w:num>
  <w:num w:numId="52" w16cid:durableId="48385603">
    <w:abstractNumId w:val="27"/>
  </w:num>
  <w:num w:numId="53" w16cid:durableId="397632093">
    <w:abstractNumId w:val="15"/>
  </w:num>
  <w:num w:numId="54" w16cid:durableId="1129010578">
    <w:abstractNumId w:val="21"/>
  </w:num>
  <w:num w:numId="55" w16cid:durableId="191185142">
    <w:abstractNumId w:val="14"/>
  </w:num>
  <w:num w:numId="56" w16cid:durableId="604309905">
    <w:abstractNumId w:val="47"/>
  </w:num>
  <w:num w:numId="57" w16cid:durableId="726340073">
    <w:abstractNumId w:val="51"/>
  </w:num>
  <w:num w:numId="58" w16cid:durableId="1554197888">
    <w:abstractNumId w:val="28"/>
  </w:num>
  <w:num w:numId="59" w16cid:durableId="64494625">
    <w:abstractNumId w:val="26"/>
  </w:num>
  <w:num w:numId="60" w16cid:durableId="358509932">
    <w:abstractNumId w:val="34"/>
  </w:num>
  <w:num w:numId="61" w16cid:durableId="1110322786">
    <w:abstractNumId w:val="42"/>
  </w:num>
  <w:num w:numId="62" w16cid:durableId="1876042521">
    <w:abstractNumId w:val="7"/>
  </w:num>
  <w:num w:numId="63" w16cid:durableId="472796944">
    <w:abstractNumId w:val="25"/>
  </w:num>
  <w:num w:numId="64" w16cid:durableId="1573809686">
    <w:abstractNumId w:val="57"/>
  </w:num>
  <w:num w:numId="65" w16cid:durableId="444345872">
    <w:abstractNumId w:val="63"/>
  </w:num>
  <w:num w:numId="66" w16cid:durableId="1017268075">
    <w:abstractNumId w:val="10"/>
  </w:num>
  <w:num w:numId="67" w16cid:durableId="1364282897">
    <w:abstractNumId w:val="13"/>
  </w:num>
  <w:num w:numId="68" w16cid:durableId="1183864204">
    <w:abstractNumId w:val="19"/>
  </w:num>
  <w:num w:numId="69" w16cid:durableId="2041854999">
    <w:abstractNumId w:val="0"/>
  </w:num>
  <w:num w:numId="70" w16cid:durableId="827864970">
    <w:abstractNumId w:val="65"/>
  </w:num>
  <w:num w:numId="71" w16cid:durableId="125853044">
    <w:abstractNumId w:val="58"/>
  </w:num>
  <w:num w:numId="72" w16cid:durableId="729883258">
    <w:abstractNumId w:val="43"/>
  </w:num>
  <w:num w:numId="73" w16cid:durableId="1769235609">
    <w:abstractNumId w:val="1"/>
  </w:num>
  <w:num w:numId="74" w16cid:durableId="1476410772">
    <w:abstractNumId w:val="39"/>
  </w:num>
  <w:num w:numId="75" w16cid:durableId="1554535080">
    <w:abstractNumId w:val="59"/>
  </w:num>
  <w:num w:numId="76" w16cid:durableId="395708205">
    <w:abstractNumId w:val="60"/>
  </w:num>
  <w:num w:numId="77" w16cid:durableId="1873954178">
    <w:abstractNumId w:val="40"/>
  </w:num>
  <w:num w:numId="78" w16cid:durableId="986517164">
    <w:abstractNumId w:val="6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zNTAxNzcyMLM0MDZU0lEKTi0uzszPAykwqgUA51qp/iwAAAA="/>
  </w:docVars>
  <w:rsids>
    <w:rsidRoot w:val="004606CD"/>
    <w:rsid w:val="000000F3"/>
    <w:rsid w:val="00000813"/>
    <w:rsid w:val="00001720"/>
    <w:rsid w:val="00001999"/>
    <w:rsid w:val="00001F3A"/>
    <w:rsid w:val="00003098"/>
    <w:rsid w:val="00005149"/>
    <w:rsid w:val="00005561"/>
    <w:rsid w:val="00005948"/>
    <w:rsid w:val="000063F9"/>
    <w:rsid w:val="00006F13"/>
    <w:rsid w:val="000074BF"/>
    <w:rsid w:val="0000783C"/>
    <w:rsid w:val="000106E2"/>
    <w:rsid w:val="0001178A"/>
    <w:rsid w:val="00011EB0"/>
    <w:rsid w:val="0001212F"/>
    <w:rsid w:val="000126FE"/>
    <w:rsid w:val="0001316E"/>
    <w:rsid w:val="00013DD8"/>
    <w:rsid w:val="000144C7"/>
    <w:rsid w:val="00014678"/>
    <w:rsid w:val="00014834"/>
    <w:rsid w:val="00014AC6"/>
    <w:rsid w:val="00015DAF"/>
    <w:rsid w:val="00017CC1"/>
    <w:rsid w:val="0002012A"/>
    <w:rsid w:val="00020505"/>
    <w:rsid w:val="00020A94"/>
    <w:rsid w:val="00020FC9"/>
    <w:rsid w:val="000215FE"/>
    <w:rsid w:val="000222A5"/>
    <w:rsid w:val="000222AA"/>
    <w:rsid w:val="0002230B"/>
    <w:rsid w:val="000232D9"/>
    <w:rsid w:val="00024723"/>
    <w:rsid w:val="00024D2C"/>
    <w:rsid w:val="0002541B"/>
    <w:rsid w:val="00026A5D"/>
    <w:rsid w:val="00027D54"/>
    <w:rsid w:val="00027FBA"/>
    <w:rsid w:val="000317FA"/>
    <w:rsid w:val="000319A2"/>
    <w:rsid w:val="000320E2"/>
    <w:rsid w:val="000328C0"/>
    <w:rsid w:val="0003327B"/>
    <w:rsid w:val="00035C72"/>
    <w:rsid w:val="000363A6"/>
    <w:rsid w:val="0003682C"/>
    <w:rsid w:val="00037829"/>
    <w:rsid w:val="000379A1"/>
    <w:rsid w:val="00037ED9"/>
    <w:rsid w:val="00040701"/>
    <w:rsid w:val="000412B4"/>
    <w:rsid w:val="000423EB"/>
    <w:rsid w:val="00042A07"/>
    <w:rsid w:val="000443D9"/>
    <w:rsid w:val="000443EF"/>
    <w:rsid w:val="00044578"/>
    <w:rsid w:val="0004531E"/>
    <w:rsid w:val="00045719"/>
    <w:rsid w:val="00045807"/>
    <w:rsid w:val="00046882"/>
    <w:rsid w:val="0005013D"/>
    <w:rsid w:val="00051FB0"/>
    <w:rsid w:val="00052135"/>
    <w:rsid w:val="0005233D"/>
    <w:rsid w:val="000527D8"/>
    <w:rsid w:val="00052BC6"/>
    <w:rsid w:val="00052D49"/>
    <w:rsid w:val="00055B65"/>
    <w:rsid w:val="00056A70"/>
    <w:rsid w:val="0006146D"/>
    <w:rsid w:val="00061A0D"/>
    <w:rsid w:val="00061E3B"/>
    <w:rsid w:val="00062056"/>
    <w:rsid w:val="000627B3"/>
    <w:rsid w:val="00063C6A"/>
    <w:rsid w:val="000652EE"/>
    <w:rsid w:val="00065DAF"/>
    <w:rsid w:val="0006795E"/>
    <w:rsid w:val="00067E3E"/>
    <w:rsid w:val="00070395"/>
    <w:rsid w:val="00070BB5"/>
    <w:rsid w:val="00070DD1"/>
    <w:rsid w:val="000734BB"/>
    <w:rsid w:val="00073FCD"/>
    <w:rsid w:val="00076747"/>
    <w:rsid w:val="00076B00"/>
    <w:rsid w:val="00077D64"/>
    <w:rsid w:val="00077FA7"/>
    <w:rsid w:val="000800E9"/>
    <w:rsid w:val="000815D8"/>
    <w:rsid w:val="00081AB9"/>
    <w:rsid w:val="00081C1D"/>
    <w:rsid w:val="0008226B"/>
    <w:rsid w:val="00082281"/>
    <w:rsid w:val="00082386"/>
    <w:rsid w:val="000832F5"/>
    <w:rsid w:val="00084C68"/>
    <w:rsid w:val="000852A6"/>
    <w:rsid w:val="00090164"/>
    <w:rsid w:val="00090397"/>
    <w:rsid w:val="000909CB"/>
    <w:rsid w:val="00091EA1"/>
    <w:rsid w:val="00091F7F"/>
    <w:rsid w:val="000929D4"/>
    <w:rsid w:val="00093181"/>
    <w:rsid w:val="00093D6F"/>
    <w:rsid w:val="000942B1"/>
    <w:rsid w:val="00095A1E"/>
    <w:rsid w:val="00095AEC"/>
    <w:rsid w:val="00095DAA"/>
    <w:rsid w:val="0009638E"/>
    <w:rsid w:val="000964FA"/>
    <w:rsid w:val="000A16F6"/>
    <w:rsid w:val="000A2165"/>
    <w:rsid w:val="000A219C"/>
    <w:rsid w:val="000A228B"/>
    <w:rsid w:val="000A302F"/>
    <w:rsid w:val="000A3B9C"/>
    <w:rsid w:val="000A4A09"/>
    <w:rsid w:val="000A4A84"/>
    <w:rsid w:val="000A4AB2"/>
    <w:rsid w:val="000A507B"/>
    <w:rsid w:val="000A585A"/>
    <w:rsid w:val="000A5A3A"/>
    <w:rsid w:val="000A671C"/>
    <w:rsid w:val="000A7101"/>
    <w:rsid w:val="000B03E3"/>
    <w:rsid w:val="000B1078"/>
    <w:rsid w:val="000B1E23"/>
    <w:rsid w:val="000B20BE"/>
    <w:rsid w:val="000B23A3"/>
    <w:rsid w:val="000B29F0"/>
    <w:rsid w:val="000B499F"/>
    <w:rsid w:val="000B570B"/>
    <w:rsid w:val="000B579E"/>
    <w:rsid w:val="000B5B08"/>
    <w:rsid w:val="000B618B"/>
    <w:rsid w:val="000B6FF0"/>
    <w:rsid w:val="000C21C0"/>
    <w:rsid w:val="000C3926"/>
    <w:rsid w:val="000C3CBE"/>
    <w:rsid w:val="000C3F22"/>
    <w:rsid w:val="000C550D"/>
    <w:rsid w:val="000C7546"/>
    <w:rsid w:val="000C7E53"/>
    <w:rsid w:val="000D0288"/>
    <w:rsid w:val="000D1BC1"/>
    <w:rsid w:val="000D2406"/>
    <w:rsid w:val="000D269F"/>
    <w:rsid w:val="000D37DF"/>
    <w:rsid w:val="000D3B52"/>
    <w:rsid w:val="000D4762"/>
    <w:rsid w:val="000D590A"/>
    <w:rsid w:val="000E0574"/>
    <w:rsid w:val="000E0C55"/>
    <w:rsid w:val="000E123F"/>
    <w:rsid w:val="000E13B1"/>
    <w:rsid w:val="000E241B"/>
    <w:rsid w:val="000E2E36"/>
    <w:rsid w:val="000E4A5D"/>
    <w:rsid w:val="000E4DD0"/>
    <w:rsid w:val="000E771D"/>
    <w:rsid w:val="000F0051"/>
    <w:rsid w:val="000F0FED"/>
    <w:rsid w:val="000F187B"/>
    <w:rsid w:val="000F234C"/>
    <w:rsid w:val="000F420F"/>
    <w:rsid w:val="000F5436"/>
    <w:rsid w:val="000F6618"/>
    <w:rsid w:val="000F685A"/>
    <w:rsid w:val="000F6EEE"/>
    <w:rsid w:val="000F7675"/>
    <w:rsid w:val="00101D68"/>
    <w:rsid w:val="001022F7"/>
    <w:rsid w:val="001028B2"/>
    <w:rsid w:val="00102C03"/>
    <w:rsid w:val="00103006"/>
    <w:rsid w:val="001031D2"/>
    <w:rsid w:val="00103706"/>
    <w:rsid w:val="00103E28"/>
    <w:rsid w:val="00104752"/>
    <w:rsid w:val="001052D3"/>
    <w:rsid w:val="001057D3"/>
    <w:rsid w:val="00106B14"/>
    <w:rsid w:val="0010753D"/>
    <w:rsid w:val="0011005D"/>
    <w:rsid w:val="00112754"/>
    <w:rsid w:val="00112EF1"/>
    <w:rsid w:val="00113622"/>
    <w:rsid w:val="00114171"/>
    <w:rsid w:val="00114278"/>
    <w:rsid w:val="00116B1D"/>
    <w:rsid w:val="00116BC7"/>
    <w:rsid w:val="00117D3D"/>
    <w:rsid w:val="001208E1"/>
    <w:rsid w:val="00120A80"/>
    <w:rsid w:val="00120D26"/>
    <w:rsid w:val="00121177"/>
    <w:rsid w:val="0012151A"/>
    <w:rsid w:val="00121728"/>
    <w:rsid w:val="00123C26"/>
    <w:rsid w:val="00124247"/>
    <w:rsid w:val="00124CBE"/>
    <w:rsid w:val="00125DBB"/>
    <w:rsid w:val="00127276"/>
    <w:rsid w:val="00127ACA"/>
    <w:rsid w:val="00130478"/>
    <w:rsid w:val="00131BB0"/>
    <w:rsid w:val="0013240A"/>
    <w:rsid w:val="00132D95"/>
    <w:rsid w:val="00132E21"/>
    <w:rsid w:val="00134706"/>
    <w:rsid w:val="00135881"/>
    <w:rsid w:val="0013698D"/>
    <w:rsid w:val="00136BC5"/>
    <w:rsid w:val="00136FC4"/>
    <w:rsid w:val="001375CF"/>
    <w:rsid w:val="00137984"/>
    <w:rsid w:val="00137A4A"/>
    <w:rsid w:val="0014068F"/>
    <w:rsid w:val="00140C59"/>
    <w:rsid w:val="00141D95"/>
    <w:rsid w:val="00142E84"/>
    <w:rsid w:val="00143C28"/>
    <w:rsid w:val="001453FE"/>
    <w:rsid w:val="001454CB"/>
    <w:rsid w:val="00145941"/>
    <w:rsid w:val="00147B29"/>
    <w:rsid w:val="00150776"/>
    <w:rsid w:val="001509BF"/>
    <w:rsid w:val="001511B8"/>
    <w:rsid w:val="001519FC"/>
    <w:rsid w:val="0015330A"/>
    <w:rsid w:val="00155FFA"/>
    <w:rsid w:val="001561A1"/>
    <w:rsid w:val="001567FB"/>
    <w:rsid w:val="0015702B"/>
    <w:rsid w:val="001573B7"/>
    <w:rsid w:val="00162523"/>
    <w:rsid w:val="00164462"/>
    <w:rsid w:val="00164CD8"/>
    <w:rsid w:val="0016507F"/>
    <w:rsid w:val="001652FF"/>
    <w:rsid w:val="00165A4B"/>
    <w:rsid w:val="0017119E"/>
    <w:rsid w:val="00172108"/>
    <w:rsid w:val="001725F6"/>
    <w:rsid w:val="00172DE8"/>
    <w:rsid w:val="00176926"/>
    <w:rsid w:val="00176EE6"/>
    <w:rsid w:val="00177077"/>
    <w:rsid w:val="00177264"/>
    <w:rsid w:val="00177FD5"/>
    <w:rsid w:val="0018142F"/>
    <w:rsid w:val="00182BBC"/>
    <w:rsid w:val="00182BD6"/>
    <w:rsid w:val="00183F5B"/>
    <w:rsid w:val="001853AA"/>
    <w:rsid w:val="001854B6"/>
    <w:rsid w:val="00187C4C"/>
    <w:rsid w:val="00190B2F"/>
    <w:rsid w:val="001917B0"/>
    <w:rsid w:val="0019255E"/>
    <w:rsid w:val="0019257B"/>
    <w:rsid w:val="0019283D"/>
    <w:rsid w:val="001934C2"/>
    <w:rsid w:val="00193CEC"/>
    <w:rsid w:val="00194D01"/>
    <w:rsid w:val="001957F4"/>
    <w:rsid w:val="00195F27"/>
    <w:rsid w:val="00196559"/>
    <w:rsid w:val="00196F06"/>
    <w:rsid w:val="001A012C"/>
    <w:rsid w:val="001A0926"/>
    <w:rsid w:val="001A0BAC"/>
    <w:rsid w:val="001A1ABA"/>
    <w:rsid w:val="001A1D62"/>
    <w:rsid w:val="001A1E4C"/>
    <w:rsid w:val="001A2697"/>
    <w:rsid w:val="001A2BF2"/>
    <w:rsid w:val="001A2C8A"/>
    <w:rsid w:val="001A4AE5"/>
    <w:rsid w:val="001A4BF4"/>
    <w:rsid w:val="001A64AB"/>
    <w:rsid w:val="001A6FEF"/>
    <w:rsid w:val="001A7123"/>
    <w:rsid w:val="001A777E"/>
    <w:rsid w:val="001A7F2B"/>
    <w:rsid w:val="001B00F5"/>
    <w:rsid w:val="001B0D09"/>
    <w:rsid w:val="001B34D5"/>
    <w:rsid w:val="001B3837"/>
    <w:rsid w:val="001B4C0E"/>
    <w:rsid w:val="001B515B"/>
    <w:rsid w:val="001B57BA"/>
    <w:rsid w:val="001B7D1C"/>
    <w:rsid w:val="001C012B"/>
    <w:rsid w:val="001C097A"/>
    <w:rsid w:val="001C11BE"/>
    <w:rsid w:val="001C18AB"/>
    <w:rsid w:val="001C2C33"/>
    <w:rsid w:val="001C3A10"/>
    <w:rsid w:val="001C44F8"/>
    <w:rsid w:val="001C4AAF"/>
    <w:rsid w:val="001C58D8"/>
    <w:rsid w:val="001C620D"/>
    <w:rsid w:val="001D1793"/>
    <w:rsid w:val="001D1BF9"/>
    <w:rsid w:val="001D1E1F"/>
    <w:rsid w:val="001D200C"/>
    <w:rsid w:val="001D2C6F"/>
    <w:rsid w:val="001D2CE4"/>
    <w:rsid w:val="001D4201"/>
    <w:rsid w:val="001D475F"/>
    <w:rsid w:val="001D48D1"/>
    <w:rsid w:val="001D644E"/>
    <w:rsid w:val="001D6934"/>
    <w:rsid w:val="001D696E"/>
    <w:rsid w:val="001E010B"/>
    <w:rsid w:val="001E0E72"/>
    <w:rsid w:val="001E14C0"/>
    <w:rsid w:val="001E1D80"/>
    <w:rsid w:val="001E21D8"/>
    <w:rsid w:val="001E28A2"/>
    <w:rsid w:val="001E32C1"/>
    <w:rsid w:val="001E458B"/>
    <w:rsid w:val="001E5932"/>
    <w:rsid w:val="001E5C0F"/>
    <w:rsid w:val="001E6150"/>
    <w:rsid w:val="001E64A0"/>
    <w:rsid w:val="001E6545"/>
    <w:rsid w:val="001E6C06"/>
    <w:rsid w:val="001E7342"/>
    <w:rsid w:val="001E7659"/>
    <w:rsid w:val="001F0D28"/>
    <w:rsid w:val="001F2103"/>
    <w:rsid w:val="001F332D"/>
    <w:rsid w:val="001F426C"/>
    <w:rsid w:val="001F443D"/>
    <w:rsid w:val="001F5A9F"/>
    <w:rsid w:val="001F5C2C"/>
    <w:rsid w:val="0020060E"/>
    <w:rsid w:val="00200FC0"/>
    <w:rsid w:val="0020263E"/>
    <w:rsid w:val="00204E44"/>
    <w:rsid w:val="002060B9"/>
    <w:rsid w:val="00206445"/>
    <w:rsid w:val="00206649"/>
    <w:rsid w:val="00207F4B"/>
    <w:rsid w:val="002110CB"/>
    <w:rsid w:val="00212287"/>
    <w:rsid w:val="002124A7"/>
    <w:rsid w:val="00214980"/>
    <w:rsid w:val="00214B17"/>
    <w:rsid w:val="00215E69"/>
    <w:rsid w:val="00215EDD"/>
    <w:rsid w:val="0021625B"/>
    <w:rsid w:val="002169A6"/>
    <w:rsid w:val="00217309"/>
    <w:rsid w:val="002206FF"/>
    <w:rsid w:val="00222205"/>
    <w:rsid w:val="00222F93"/>
    <w:rsid w:val="00224E5C"/>
    <w:rsid w:val="0022579C"/>
    <w:rsid w:val="00230772"/>
    <w:rsid w:val="00230D82"/>
    <w:rsid w:val="00232152"/>
    <w:rsid w:val="00232370"/>
    <w:rsid w:val="00232F1F"/>
    <w:rsid w:val="00233391"/>
    <w:rsid w:val="00234017"/>
    <w:rsid w:val="0023406E"/>
    <w:rsid w:val="002341BA"/>
    <w:rsid w:val="00235429"/>
    <w:rsid w:val="00235529"/>
    <w:rsid w:val="00236F10"/>
    <w:rsid w:val="00237034"/>
    <w:rsid w:val="00237E80"/>
    <w:rsid w:val="00240979"/>
    <w:rsid w:val="002414B7"/>
    <w:rsid w:val="00241B9E"/>
    <w:rsid w:val="00241EE0"/>
    <w:rsid w:val="00242D25"/>
    <w:rsid w:val="00243B4E"/>
    <w:rsid w:val="00243F1A"/>
    <w:rsid w:val="00244E47"/>
    <w:rsid w:val="0024585F"/>
    <w:rsid w:val="002459C6"/>
    <w:rsid w:val="00245C2F"/>
    <w:rsid w:val="0024708C"/>
    <w:rsid w:val="00251F57"/>
    <w:rsid w:val="0025230C"/>
    <w:rsid w:val="00252FDD"/>
    <w:rsid w:val="002539D6"/>
    <w:rsid w:val="00253F2B"/>
    <w:rsid w:val="002544C6"/>
    <w:rsid w:val="00256981"/>
    <w:rsid w:val="00256E80"/>
    <w:rsid w:val="002571F1"/>
    <w:rsid w:val="00260061"/>
    <w:rsid w:val="002615F3"/>
    <w:rsid w:val="00263C0A"/>
    <w:rsid w:val="00264085"/>
    <w:rsid w:val="002646AF"/>
    <w:rsid w:val="00264F20"/>
    <w:rsid w:val="0026527C"/>
    <w:rsid w:val="002655FA"/>
    <w:rsid w:val="00266012"/>
    <w:rsid w:val="00266EB3"/>
    <w:rsid w:val="00271D06"/>
    <w:rsid w:val="00272CE1"/>
    <w:rsid w:val="00273F73"/>
    <w:rsid w:val="00274D5E"/>
    <w:rsid w:val="00274D9F"/>
    <w:rsid w:val="002752E0"/>
    <w:rsid w:val="002766FF"/>
    <w:rsid w:val="0027681E"/>
    <w:rsid w:val="00280411"/>
    <w:rsid w:val="0028153A"/>
    <w:rsid w:val="0028159F"/>
    <w:rsid w:val="0028177D"/>
    <w:rsid w:val="0028212E"/>
    <w:rsid w:val="00282486"/>
    <w:rsid w:val="0028461E"/>
    <w:rsid w:val="00285730"/>
    <w:rsid w:val="002858D0"/>
    <w:rsid w:val="00287731"/>
    <w:rsid w:val="00290883"/>
    <w:rsid w:val="00290CEE"/>
    <w:rsid w:val="00291EF7"/>
    <w:rsid w:val="00292093"/>
    <w:rsid w:val="00292622"/>
    <w:rsid w:val="00292CEB"/>
    <w:rsid w:val="00293AB4"/>
    <w:rsid w:val="00293B5C"/>
    <w:rsid w:val="0029485E"/>
    <w:rsid w:val="00295FA1"/>
    <w:rsid w:val="002979EB"/>
    <w:rsid w:val="002A21E7"/>
    <w:rsid w:val="002A3028"/>
    <w:rsid w:val="002A384B"/>
    <w:rsid w:val="002A45B8"/>
    <w:rsid w:val="002A4AE3"/>
    <w:rsid w:val="002A4C89"/>
    <w:rsid w:val="002A6727"/>
    <w:rsid w:val="002A6921"/>
    <w:rsid w:val="002A69B3"/>
    <w:rsid w:val="002A7121"/>
    <w:rsid w:val="002A713D"/>
    <w:rsid w:val="002B06F3"/>
    <w:rsid w:val="002B0CCA"/>
    <w:rsid w:val="002B113A"/>
    <w:rsid w:val="002B2070"/>
    <w:rsid w:val="002B2698"/>
    <w:rsid w:val="002B38DE"/>
    <w:rsid w:val="002B3B27"/>
    <w:rsid w:val="002B5CAD"/>
    <w:rsid w:val="002B6B8C"/>
    <w:rsid w:val="002B738E"/>
    <w:rsid w:val="002C04A5"/>
    <w:rsid w:val="002C1393"/>
    <w:rsid w:val="002C21C0"/>
    <w:rsid w:val="002C224F"/>
    <w:rsid w:val="002C2E35"/>
    <w:rsid w:val="002C3AC3"/>
    <w:rsid w:val="002C3C9B"/>
    <w:rsid w:val="002C3D8B"/>
    <w:rsid w:val="002C4797"/>
    <w:rsid w:val="002C566E"/>
    <w:rsid w:val="002C5C46"/>
    <w:rsid w:val="002C637D"/>
    <w:rsid w:val="002C6C9D"/>
    <w:rsid w:val="002D148F"/>
    <w:rsid w:val="002D20A1"/>
    <w:rsid w:val="002D2D98"/>
    <w:rsid w:val="002D35FA"/>
    <w:rsid w:val="002D3AB0"/>
    <w:rsid w:val="002D3AFB"/>
    <w:rsid w:val="002D44BC"/>
    <w:rsid w:val="002D52DE"/>
    <w:rsid w:val="002D7226"/>
    <w:rsid w:val="002D778C"/>
    <w:rsid w:val="002E0612"/>
    <w:rsid w:val="002E06A2"/>
    <w:rsid w:val="002E1C76"/>
    <w:rsid w:val="002E2A8C"/>
    <w:rsid w:val="002E2C72"/>
    <w:rsid w:val="002E33FF"/>
    <w:rsid w:val="002E36AB"/>
    <w:rsid w:val="002E3BB5"/>
    <w:rsid w:val="002E3C69"/>
    <w:rsid w:val="002E3CDF"/>
    <w:rsid w:val="002E3F1A"/>
    <w:rsid w:val="002E4565"/>
    <w:rsid w:val="002E5017"/>
    <w:rsid w:val="002E61F6"/>
    <w:rsid w:val="002E6694"/>
    <w:rsid w:val="002E7A3D"/>
    <w:rsid w:val="002E7ADE"/>
    <w:rsid w:val="002E7C4F"/>
    <w:rsid w:val="002F1155"/>
    <w:rsid w:val="002F335D"/>
    <w:rsid w:val="002F5070"/>
    <w:rsid w:val="002F578F"/>
    <w:rsid w:val="002F7197"/>
    <w:rsid w:val="002F7804"/>
    <w:rsid w:val="00300286"/>
    <w:rsid w:val="003003BB"/>
    <w:rsid w:val="00300AF9"/>
    <w:rsid w:val="00300B44"/>
    <w:rsid w:val="003018CD"/>
    <w:rsid w:val="003025FE"/>
    <w:rsid w:val="0030389F"/>
    <w:rsid w:val="00303E9D"/>
    <w:rsid w:val="00304918"/>
    <w:rsid w:val="00304BB6"/>
    <w:rsid w:val="003050E7"/>
    <w:rsid w:val="00305853"/>
    <w:rsid w:val="0031110D"/>
    <w:rsid w:val="0031292B"/>
    <w:rsid w:val="00312A49"/>
    <w:rsid w:val="00312D17"/>
    <w:rsid w:val="00312E78"/>
    <w:rsid w:val="00313980"/>
    <w:rsid w:val="00313C7B"/>
    <w:rsid w:val="00315398"/>
    <w:rsid w:val="00315D8D"/>
    <w:rsid w:val="00315E56"/>
    <w:rsid w:val="00315FCA"/>
    <w:rsid w:val="00316561"/>
    <w:rsid w:val="0031671D"/>
    <w:rsid w:val="0031745A"/>
    <w:rsid w:val="003207B4"/>
    <w:rsid w:val="00320F0C"/>
    <w:rsid w:val="0032224F"/>
    <w:rsid w:val="003238D9"/>
    <w:rsid w:val="00324AB5"/>
    <w:rsid w:val="0032514D"/>
    <w:rsid w:val="00325191"/>
    <w:rsid w:val="0032574A"/>
    <w:rsid w:val="00325CFB"/>
    <w:rsid w:val="00325D72"/>
    <w:rsid w:val="00326852"/>
    <w:rsid w:val="00326D9D"/>
    <w:rsid w:val="00326E08"/>
    <w:rsid w:val="00326EA6"/>
    <w:rsid w:val="00326F32"/>
    <w:rsid w:val="003274E9"/>
    <w:rsid w:val="003303BE"/>
    <w:rsid w:val="00330D74"/>
    <w:rsid w:val="0033195D"/>
    <w:rsid w:val="00331A26"/>
    <w:rsid w:val="0033230C"/>
    <w:rsid w:val="003326E2"/>
    <w:rsid w:val="003369AA"/>
    <w:rsid w:val="00336E78"/>
    <w:rsid w:val="00337868"/>
    <w:rsid w:val="00337C4C"/>
    <w:rsid w:val="00337EC6"/>
    <w:rsid w:val="00340A74"/>
    <w:rsid w:val="00340C5B"/>
    <w:rsid w:val="00340E37"/>
    <w:rsid w:val="003418A6"/>
    <w:rsid w:val="0034206A"/>
    <w:rsid w:val="0034213E"/>
    <w:rsid w:val="00342A17"/>
    <w:rsid w:val="00343349"/>
    <w:rsid w:val="00343E9B"/>
    <w:rsid w:val="0034577F"/>
    <w:rsid w:val="00346949"/>
    <w:rsid w:val="00346F39"/>
    <w:rsid w:val="00347426"/>
    <w:rsid w:val="00351263"/>
    <w:rsid w:val="00351494"/>
    <w:rsid w:val="003514B9"/>
    <w:rsid w:val="0035166C"/>
    <w:rsid w:val="00351812"/>
    <w:rsid w:val="00353ABC"/>
    <w:rsid w:val="00355630"/>
    <w:rsid w:val="0035617A"/>
    <w:rsid w:val="0035625B"/>
    <w:rsid w:val="00356A93"/>
    <w:rsid w:val="00356BC5"/>
    <w:rsid w:val="00357FC4"/>
    <w:rsid w:val="0036057C"/>
    <w:rsid w:val="003626C2"/>
    <w:rsid w:val="003631C2"/>
    <w:rsid w:val="0036323D"/>
    <w:rsid w:val="00363387"/>
    <w:rsid w:val="003633D3"/>
    <w:rsid w:val="00363735"/>
    <w:rsid w:val="00363F67"/>
    <w:rsid w:val="00364089"/>
    <w:rsid w:val="003703A0"/>
    <w:rsid w:val="00371006"/>
    <w:rsid w:val="003712DD"/>
    <w:rsid w:val="00372EF6"/>
    <w:rsid w:val="00373ADD"/>
    <w:rsid w:val="00374559"/>
    <w:rsid w:val="003767C4"/>
    <w:rsid w:val="00376A5A"/>
    <w:rsid w:val="00376E53"/>
    <w:rsid w:val="00377948"/>
    <w:rsid w:val="00377CCA"/>
    <w:rsid w:val="00380855"/>
    <w:rsid w:val="00380917"/>
    <w:rsid w:val="00381418"/>
    <w:rsid w:val="00381F4D"/>
    <w:rsid w:val="003826B8"/>
    <w:rsid w:val="00382D21"/>
    <w:rsid w:val="00383001"/>
    <w:rsid w:val="00385FE8"/>
    <w:rsid w:val="003864EF"/>
    <w:rsid w:val="00386AD8"/>
    <w:rsid w:val="003873E9"/>
    <w:rsid w:val="003875FC"/>
    <w:rsid w:val="00387A7B"/>
    <w:rsid w:val="003900D9"/>
    <w:rsid w:val="00390434"/>
    <w:rsid w:val="00390E90"/>
    <w:rsid w:val="003916BE"/>
    <w:rsid w:val="00391A4F"/>
    <w:rsid w:val="00392AAF"/>
    <w:rsid w:val="00394182"/>
    <w:rsid w:val="00395355"/>
    <w:rsid w:val="00395ECA"/>
    <w:rsid w:val="00397485"/>
    <w:rsid w:val="00397A9C"/>
    <w:rsid w:val="003A121A"/>
    <w:rsid w:val="003A15A1"/>
    <w:rsid w:val="003A3303"/>
    <w:rsid w:val="003A3739"/>
    <w:rsid w:val="003A4EBF"/>
    <w:rsid w:val="003A5A30"/>
    <w:rsid w:val="003A603F"/>
    <w:rsid w:val="003A71E2"/>
    <w:rsid w:val="003A75E1"/>
    <w:rsid w:val="003A76F7"/>
    <w:rsid w:val="003A7CAB"/>
    <w:rsid w:val="003B08E6"/>
    <w:rsid w:val="003B0BF8"/>
    <w:rsid w:val="003B1E6A"/>
    <w:rsid w:val="003B2384"/>
    <w:rsid w:val="003B319A"/>
    <w:rsid w:val="003B5AE7"/>
    <w:rsid w:val="003B667E"/>
    <w:rsid w:val="003C0A33"/>
    <w:rsid w:val="003C1561"/>
    <w:rsid w:val="003C2126"/>
    <w:rsid w:val="003C35D7"/>
    <w:rsid w:val="003C365B"/>
    <w:rsid w:val="003C5762"/>
    <w:rsid w:val="003C60E6"/>
    <w:rsid w:val="003C7441"/>
    <w:rsid w:val="003D0104"/>
    <w:rsid w:val="003D16C0"/>
    <w:rsid w:val="003D16D3"/>
    <w:rsid w:val="003D27A1"/>
    <w:rsid w:val="003D3FC3"/>
    <w:rsid w:val="003D51EB"/>
    <w:rsid w:val="003D56C1"/>
    <w:rsid w:val="003D5F88"/>
    <w:rsid w:val="003D6252"/>
    <w:rsid w:val="003D6583"/>
    <w:rsid w:val="003D746D"/>
    <w:rsid w:val="003E1DAA"/>
    <w:rsid w:val="003E1E1E"/>
    <w:rsid w:val="003E3580"/>
    <w:rsid w:val="003E3934"/>
    <w:rsid w:val="003E3A89"/>
    <w:rsid w:val="003E41CE"/>
    <w:rsid w:val="003E41F4"/>
    <w:rsid w:val="003E649D"/>
    <w:rsid w:val="003E6624"/>
    <w:rsid w:val="003E66C9"/>
    <w:rsid w:val="003E6F69"/>
    <w:rsid w:val="003F0233"/>
    <w:rsid w:val="003F0A27"/>
    <w:rsid w:val="003F1E0F"/>
    <w:rsid w:val="003F1F74"/>
    <w:rsid w:val="003F362E"/>
    <w:rsid w:val="003F3EF9"/>
    <w:rsid w:val="003F44BB"/>
    <w:rsid w:val="003F55D9"/>
    <w:rsid w:val="003F5D29"/>
    <w:rsid w:val="003F6224"/>
    <w:rsid w:val="003F6424"/>
    <w:rsid w:val="003F65E9"/>
    <w:rsid w:val="003F7BF6"/>
    <w:rsid w:val="00400358"/>
    <w:rsid w:val="00400D81"/>
    <w:rsid w:val="00401FAC"/>
    <w:rsid w:val="004027AF"/>
    <w:rsid w:val="00402AFC"/>
    <w:rsid w:val="00402D92"/>
    <w:rsid w:val="004031FE"/>
    <w:rsid w:val="0040335F"/>
    <w:rsid w:val="00404499"/>
    <w:rsid w:val="004046A0"/>
    <w:rsid w:val="00404884"/>
    <w:rsid w:val="00404C72"/>
    <w:rsid w:val="0040655A"/>
    <w:rsid w:val="004068A9"/>
    <w:rsid w:val="00407329"/>
    <w:rsid w:val="00407888"/>
    <w:rsid w:val="00411196"/>
    <w:rsid w:val="00411A04"/>
    <w:rsid w:val="004139D0"/>
    <w:rsid w:val="00413A7B"/>
    <w:rsid w:val="00413C9B"/>
    <w:rsid w:val="00413DA9"/>
    <w:rsid w:val="0041497B"/>
    <w:rsid w:val="00415A54"/>
    <w:rsid w:val="00417203"/>
    <w:rsid w:val="00420B00"/>
    <w:rsid w:val="004213CE"/>
    <w:rsid w:val="004216F5"/>
    <w:rsid w:val="00422120"/>
    <w:rsid w:val="004221C1"/>
    <w:rsid w:val="0042244D"/>
    <w:rsid w:val="004228B1"/>
    <w:rsid w:val="00422928"/>
    <w:rsid w:val="0042434E"/>
    <w:rsid w:val="004245A0"/>
    <w:rsid w:val="00425F0B"/>
    <w:rsid w:val="00426F66"/>
    <w:rsid w:val="00427470"/>
    <w:rsid w:val="00427958"/>
    <w:rsid w:val="00427CCB"/>
    <w:rsid w:val="00430BEE"/>
    <w:rsid w:val="004316CE"/>
    <w:rsid w:val="00431F05"/>
    <w:rsid w:val="00432159"/>
    <w:rsid w:val="004328A5"/>
    <w:rsid w:val="004331D1"/>
    <w:rsid w:val="00433B4D"/>
    <w:rsid w:val="00434978"/>
    <w:rsid w:val="00435570"/>
    <w:rsid w:val="004357D5"/>
    <w:rsid w:val="004421E6"/>
    <w:rsid w:val="00442915"/>
    <w:rsid w:val="004434E7"/>
    <w:rsid w:val="004455EF"/>
    <w:rsid w:val="00445F7E"/>
    <w:rsid w:val="00450B16"/>
    <w:rsid w:val="004514AD"/>
    <w:rsid w:val="004527E1"/>
    <w:rsid w:val="00452C91"/>
    <w:rsid w:val="00453506"/>
    <w:rsid w:val="0045444B"/>
    <w:rsid w:val="0045691D"/>
    <w:rsid w:val="00457720"/>
    <w:rsid w:val="00457E01"/>
    <w:rsid w:val="004606CD"/>
    <w:rsid w:val="00460B94"/>
    <w:rsid w:val="0046438E"/>
    <w:rsid w:val="0046492B"/>
    <w:rsid w:val="004652A2"/>
    <w:rsid w:val="004656BA"/>
    <w:rsid w:val="00465C3F"/>
    <w:rsid w:val="00465D5A"/>
    <w:rsid w:val="00466294"/>
    <w:rsid w:val="004662FD"/>
    <w:rsid w:val="00466BBD"/>
    <w:rsid w:val="00466DD0"/>
    <w:rsid w:val="00470E30"/>
    <w:rsid w:val="0047134E"/>
    <w:rsid w:val="004720E3"/>
    <w:rsid w:val="004726E5"/>
    <w:rsid w:val="00472F7A"/>
    <w:rsid w:val="00475508"/>
    <w:rsid w:val="00476720"/>
    <w:rsid w:val="0047677F"/>
    <w:rsid w:val="00477A57"/>
    <w:rsid w:val="00477C3A"/>
    <w:rsid w:val="00480F67"/>
    <w:rsid w:val="00480FE9"/>
    <w:rsid w:val="00482EDF"/>
    <w:rsid w:val="00483071"/>
    <w:rsid w:val="00483515"/>
    <w:rsid w:val="0048411C"/>
    <w:rsid w:val="0048412E"/>
    <w:rsid w:val="004860C9"/>
    <w:rsid w:val="004872E3"/>
    <w:rsid w:val="00487EC0"/>
    <w:rsid w:val="00487EE3"/>
    <w:rsid w:val="004905C4"/>
    <w:rsid w:val="004905EE"/>
    <w:rsid w:val="00490D39"/>
    <w:rsid w:val="004926BC"/>
    <w:rsid w:val="004934DF"/>
    <w:rsid w:val="00493D55"/>
    <w:rsid w:val="00495473"/>
    <w:rsid w:val="004957D0"/>
    <w:rsid w:val="004958CA"/>
    <w:rsid w:val="00495D06"/>
    <w:rsid w:val="00495ED8"/>
    <w:rsid w:val="004971DD"/>
    <w:rsid w:val="004A03B6"/>
    <w:rsid w:val="004A172E"/>
    <w:rsid w:val="004A1CE0"/>
    <w:rsid w:val="004A225D"/>
    <w:rsid w:val="004A2ECE"/>
    <w:rsid w:val="004A3EBF"/>
    <w:rsid w:val="004A471B"/>
    <w:rsid w:val="004A628C"/>
    <w:rsid w:val="004B0590"/>
    <w:rsid w:val="004B37F5"/>
    <w:rsid w:val="004B4512"/>
    <w:rsid w:val="004B6401"/>
    <w:rsid w:val="004B6BF9"/>
    <w:rsid w:val="004B7680"/>
    <w:rsid w:val="004B7F09"/>
    <w:rsid w:val="004C073C"/>
    <w:rsid w:val="004C0FEB"/>
    <w:rsid w:val="004C1560"/>
    <w:rsid w:val="004C1BB5"/>
    <w:rsid w:val="004C1EE6"/>
    <w:rsid w:val="004C2363"/>
    <w:rsid w:val="004C4627"/>
    <w:rsid w:val="004C4A23"/>
    <w:rsid w:val="004C52F3"/>
    <w:rsid w:val="004C59CC"/>
    <w:rsid w:val="004C5EC1"/>
    <w:rsid w:val="004C7576"/>
    <w:rsid w:val="004C770E"/>
    <w:rsid w:val="004D0682"/>
    <w:rsid w:val="004D1187"/>
    <w:rsid w:val="004D13BC"/>
    <w:rsid w:val="004D143F"/>
    <w:rsid w:val="004D1539"/>
    <w:rsid w:val="004D3FE6"/>
    <w:rsid w:val="004D5D8A"/>
    <w:rsid w:val="004D65A9"/>
    <w:rsid w:val="004D6708"/>
    <w:rsid w:val="004D76F0"/>
    <w:rsid w:val="004D7CDC"/>
    <w:rsid w:val="004E04C2"/>
    <w:rsid w:val="004E0A68"/>
    <w:rsid w:val="004E0AFC"/>
    <w:rsid w:val="004E27D6"/>
    <w:rsid w:val="004E286E"/>
    <w:rsid w:val="004E2E07"/>
    <w:rsid w:val="004E49A9"/>
    <w:rsid w:val="004E586A"/>
    <w:rsid w:val="004E63B4"/>
    <w:rsid w:val="004E66D3"/>
    <w:rsid w:val="004E706E"/>
    <w:rsid w:val="004F257D"/>
    <w:rsid w:val="004F33AB"/>
    <w:rsid w:val="004F5138"/>
    <w:rsid w:val="004F53BD"/>
    <w:rsid w:val="004F54FF"/>
    <w:rsid w:val="004F5F50"/>
    <w:rsid w:val="004F6501"/>
    <w:rsid w:val="004F786E"/>
    <w:rsid w:val="004F7883"/>
    <w:rsid w:val="004F7D00"/>
    <w:rsid w:val="00501683"/>
    <w:rsid w:val="005028E6"/>
    <w:rsid w:val="005037A9"/>
    <w:rsid w:val="0050532C"/>
    <w:rsid w:val="00505AB5"/>
    <w:rsid w:val="00505CDB"/>
    <w:rsid w:val="005061DC"/>
    <w:rsid w:val="00506C42"/>
    <w:rsid w:val="0051000C"/>
    <w:rsid w:val="00510505"/>
    <w:rsid w:val="005112E1"/>
    <w:rsid w:val="00511A3B"/>
    <w:rsid w:val="00511DEF"/>
    <w:rsid w:val="00513845"/>
    <w:rsid w:val="00513862"/>
    <w:rsid w:val="00513E8D"/>
    <w:rsid w:val="005142DB"/>
    <w:rsid w:val="00514F65"/>
    <w:rsid w:val="00515254"/>
    <w:rsid w:val="00516E94"/>
    <w:rsid w:val="00517204"/>
    <w:rsid w:val="0052097D"/>
    <w:rsid w:val="005221E4"/>
    <w:rsid w:val="00522FF2"/>
    <w:rsid w:val="0052364E"/>
    <w:rsid w:val="0052397A"/>
    <w:rsid w:val="00524EFE"/>
    <w:rsid w:val="0052689E"/>
    <w:rsid w:val="00526F86"/>
    <w:rsid w:val="0053044D"/>
    <w:rsid w:val="005305A8"/>
    <w:rsid w:val="005318C1"/>
    <w:rsid w:val="005320A6"/>
    <w:rsid w:val="00532A5F"/>
    <w:rsid w:val="005341E6"/>
    <w:rsid w:val="00535018"/>
    <w:rsid w:val="00535C81"/>
    <w:rsid w:val="00536171"/>
    <w:rsid w:val="00536566"/>
    <w:rsid w:val="00536AD9"/>
    <w:rsid w:val="005402E7"/>
    <w:rsid w:val="00540AA6"/>
    <w:rsid w:val="00541F09"/>
    <w:rsid w:val="00542B4C"/>
    <w:rsid w:val="00544D15"/>
    <w:rsid w:val="00544E84"/>
    <w:rsid w:val="0054752C"/>
    <w:rsid w:val="0055128D"/>
    <w:rsid w:val="00552106"/>
    <w:rsid w:val="00552EFE"/>
    <w:rsid w:val="00552F6D"/>
    <w:rsid w:val="00553DA3"/>
    <w:rsid w:val="005545F5"/>
    <w:rsid w:val="0055529F"/>
    <w:rsid w:val="005558E0"/>
    <w:rsid w:val="00555CF7"/>
    <w:rsid w:val="00556046"/>
    <w:rsid w:val="005564B6"/>
    <w:rsid w:val="005568BD"/>
    <w:rsid w:val="00556B6D"/>
    <w:rsid w:val="00556EA9"/>
    <w:rsid w:val="005572AB"/>
    <w:rsid w:val="00557413"/>
    <w:rsid w:val="005603FC"/>
    <w:rsid w:val="00560719"/>
    <w:rsid w:val="00560834"/>
    <w:rsid w:val="00562716"/>
    <w:rsid w:val="005628FC"/>
    <w:rsid w:val="00562F3C"/>
    <w:rsid w:val="0056349A"/>
    <w:rsid w:val="00564F19"/>
    <w:rsid w:val="005712B0"/>
    <w:rsid w:val="00572F95"/>
    <w:rsid w:val="00575169"/>
    <w:rsid w:val="00576C1A"/>
    <w:rsid w:val="0057724F"/>
    <w:rsid w:val="00577428"/>
    <w:rsid w:val="0057746E"/>
    <w:rsid w:val="00577CBE"/>
    <w:rsid w:val="005818AC"/>
    <w:rsid w:val="00581988"/>
    <w:rsid w:val="0058221A"/>
    <w:rsid w:val="00583EC5"/>
    <w:rsid w:val="0058419E"/>
    <w:rsid w:val="00584BAE"/>
    <w:rsid w:val="00584C43"/>
    <w:rsid w:val="00585075"/>
    <w:rsid w:val="0058700C"/>
    <w:rsid w:val="00587A41"/>
    <w:rsid w:val="00587D1B"/>
    <w:rsid w:val="00587D8A"/>
    <w:rsid w:val="00587EDF"/>
    <w:rsid w:val="005903FD"/>
    <w:rsid w:val="00590DC5"/>
    <w:rsid w:val="00590F94"/>
    <w:rsid w:val="005915EC"/>
    <w:rsid w:val="005917F1"/>
    <w:rsid w:val="0059182F"/>
    <w:rsid w:val="00592090"/>
    <w:rsid w:val="00592B80"/>
    <w:rsid w:val="00592B89"/>
    <w:rsid w:val="005933D7"/>
    <w:rsid w:val="00593A92"/>
    <w:rsid w:val="0059439C"/>
    <w:rsid w:val="00594B77"/>
    <w:rsid w:val="00594CCB"/>
    <w:rsid w:val="00595144"/>
    <w:rsid w:val="00595E94"/>
    <w:rsid w:val="005961FB"/>
    <w:rsid w:val="0059639A"/>
    <w:rsid w:val="00596491"/>
    <w:rsid w:val="005A340D"/>
    <w:rsid w:val="005A3C6B"/>
    <w:rsid w:val="005A4594"/>
    <w:rsid w:val="005A4D6D"/>
    <w:rsid w:val="005A6C06"/>
    <w:rsid w:val="005A7F22"/>
    <w:rsid w:val="005B058A"/>
    <w:rsid w:val="005B1C3B"/>
    <w:rsid w:val="005B216A"/>
    <w:rsid w:val="005B47EE"/>
    <w:rsid w:val="005B4F8F"/>
    <w:rsid w:val="005B629D"/>
    <w:rsid w:val="005C00DA"/>
    <w:rsid w:val="005C0377"/>
    <w:rsid w:val="005C0830"/>
    <w:rsid w:val="005C0A63"/>
    <w:rsid w:val="005C0FF9"/>
    <w:rsid w:val="005C4352"/>
    <w:rsid w:val="005C58CA"/>
    <w:rsid w:val="005C5AE7"/>
    <w:rsid w:val="005D0C3E"/>
    <w:rsid w:val="005D1517"/>
    <w:rsid w:val="005D1644"/>
    <w:rsid w:val="005D190C"/>
    <w:rsid w:val="005D2344"/>
    <w:rsid w:val="005D34AC"/>
    <w:rsid w:val="005D37CE"/>
    <w:rsid w:val="005D42ED"/>
    <w:rsid w:val="005D46F0"/>
    <w:rsid w:val="005D4D9E"/>
    <w:rsid w:val="005D5039"/>
    <w:rsid w:val="005D5408"/>
    <w:rsid w:val="005D549D"/>
    <w:rsid w:val="005D59FB"/>
    <w:rsid w:val="005D6097"/>
    <w:rsid w:val="005D61FE"/>
    <w:rsid w:val="005D646E"/>
    <w:rsid w:val="005D67BC"/>
    <w:rsid w:val="005D76B7"/>
    <w:rsid w:val="005E0DAC"/>
    <w:rsid w:val="005E0F19"/>
    <w:rsid w:val="005E1968"/>
    <w:rsid w:val="005E2A99"/>
    <w:rsid w:val="005E3219"/>
    <w:rsid w:val="005E3A75"/>
    <w:rsid w:val="005E3B85"/>
    <w:rsid w:val="005E48CF"/>
    <w:rsid w:val="005E6A1F"/>
    <w:rsid w:val="005E6AC3"/>
    <w:rsid w:val="005F0662"/>
    <w:rsid w:val="005F18E6"/>
    <w:rsid w:val="005F2430"/>
    <w:rsid w:val="005F36E3"/>
    <w:rsid w:val="005F5B41"/>
    <w:rsid w:val="005F5B43"/>
    <w:rsid w:val="005F619D"/>
    <w:rsid w:val="005F6723"/>
    <w:rsid w:val="005F6E6C"/>
    <w:rsid w:val="00600381"/>
    <w:rsid w:val="006004BC"/>
    <w:rsid w:val="00600B06"/>
    <w:rsid w:val="006011B2"/>
    <w:rsid w:val="006014E4"/>
    <w:rsid w:val="006018C6"/>
    <w:rsid w:val="00602F33"/>
    <w:rsid w:val="00604793"/>
    <w:rsid w:val="00604CD8"/>
    <w:rsid w:val="006063FF"/>
    <w:rsid w:val="006078C2"/>
    <w:rsid w:val="006102EF"/>
    <w:rsid w:val="00611A7E"/>
    <w:rsid w:val="00611D8A"/>
    <w:rsid w:val="006123FD"/>
    <w:rsid w:val="006124EC"/>
    <w:rsid w:val="00615410"/>
    <w:rsid w:val="0061605A"/>
    <w:rsid w:val="00616A54"/>
    <w:rsid w:val="00617D8F"/>
    <w:rsid w:val="00617DBB"/>
    <w:rsid w:val="0062042D"/>
    <w:rsid w:val="00621176"/>
    <w:rsid w:val="00621ED9"/>
    <w:rsid w:val="00622219"/>
    <w:rsid w:val="006231D7"/>
    <w:rsid w:val="006233C2"/>
    <w:rsid w:val="00623970"/>
    <w:rsid w:val="00624F79"/>
    <w:rsid w:val="00625E35"/>
    <w:rsid w:val="00625E65"/>
    <w:rsid w:val="00626B00"/>
    <w:rsid w:val="00626C00"/>
    <w:rsid w:val="00627137"/>
    <w:rsid w:val="006272A0"/>
    <w:rsid w:val="00627853"/>
    <w:rsid w:val="00630583"/>
    <w:rsid w:val="006329BD"/>
    <w:rsid w:val="00635CA5"/>
    <w:rsid w:val="00636530"/>
    <w:rsid w:val="00636C0B"/>
    <w:rsid w:val="006403B9"/>
    <w:rsid w:val="0064084F"/>
    <w:rsid w:val="00640BEC"/>
    <w:rsid w:val="00640DB7"/>
    <w:rsid w:val="00641266"/>
    <w:rsid w:val="00641569"/>
    <w:rsid w:val="0064184E"/>
    <w:rsid w:val="00642A3E"/>
    <w:rsid w:val="00644DC2"/>
    <w:rsid w:val="00645601"/>
    <w:rsid w:val="00646C65"/>
    <w:rsid w:val="00647CBC"/>
    <w:rsid w:val="0065068C"/>
    <w:rsid w:val="0065081B"/>
    <w:rsid w:val="0065111B"/>
    <w:rsid w:val="006516FF"/>
    <w:rsid w:val="0065197C"/>
    <w:rsid w:val="00652F56"/>
    <w:rsid w:val="0065344E"/>
    <w:rsid w:val="00653C2E"/>
    <w:rsid w:val="00653DED"/>
    <w:rsid w:val="0065467F"/>
    <w:rsid w:val="006557C8"/>
    <w:rsid w:val="006559DA"/>
    <w:rsid w:val="00655B2A"/>
    <w:rsid w:val="00655D5C"/>
    <w:rsid w:val="00656A9E"/>
    <w:rsid w:val="0065773A"/>
    <w:rsid w:val="006579C7"/>
    <w:rsid w:val="006608BD"/>
    <w:rsid w:val="00660FCA"/>
    <w:rsid w:val="00661657"/>
    <w:rsid w:val="00663571"/>
    <w:rsid w:val="00663819"/>
    <w:rsid w:val="00663C67"/>
    <w:rsid w:val="00663DB7"/>
    <w:rsid w:val="006645F3"/>
    <w:rsid w:val="00664925"/>
    <w:rsid w:val="006654CE"/>
    <w:rsid w:val="00666704"/>
    <w:rsid w:val="00666BB9"/>
    <w:rsid w:val="006671CD"/>
    <w:rsid w:val="00667FD5"/>
    <w:rsid w:val="00670014"/>
    <w:rsid w:val="00670E94"/>
    <w:rsid w:val="0067199E"/>
    <w:rsid w:val="00673AE4"/>
    <w:rsid w:val="00674DE8"/>
    <w:rsid w:val="00674FC4"/>
    <w:rsid w:val="006763DA"/>
    <w:rsid w:val="006767D6"/>
    <w:rsid w:val="00680680"/>
    <w:rsid w:val="0068080C"/>
    <w:rsid w:val="00683119"/>
    <w:rsid w:val="006848AE"/>
    <w:rsid w:val="006859CA"/>
    <w:rsid w:val="00685E1E"/>
    <w:rsid w:val="006903AA"/>
    <w:rsid w:val="006914B2"/>
    <w:rsid w:val="006915F8"/>
    <w:rsid w:val="00691C77"/>
    <w:rsid w:val="00692159"/>
    <w:rsid w:val="006956AF"/>
    <w:rsid w:val="006957C8"/>
    <w:rsid w:val="006958FD"/>
    <w:rsid w:val="006975E1"/>
    <w:rsid w:val="00697850"/>
    <w:rsid w:val="006A03D3"/>
    <w:rsid w:val="006A042A"/>
    <w:rsid w:val="006A0831"/>
    <w:rsid w:val="006A0C41"/>
    <w:rsid w:val="006A0D85"/>
    <w:rsid w:val="006A33BC"/>
    <w:rsid w:val="006A3AA1"/>
    <w:rsid w:val="006A63CB"/>
    <w:rsid w:val="006A689B"/>
    <w:rsid w:val="006A6D98"/>
    <w:rsid w:val="006A7341"/>
    <w:rsid w:val="006B0BD7"/>
    <w:rsid w:val="006B223A"/>
    <w:rsid w:val="006B262A"/>
    <w:rsid w:val="006B3294"/>
    <w:rsid w:val="006B3547"/>
    <w:rsid w:val="006B3B23"/>
    <w:rsid w:val="006B431A"/>
    <w:rsid w:val="006B4F86"/>
    <w:rsid w:val="006B5F7A"/>
    <w:rsid w:val="006B690F"/>
    <w:rsid w:val="006B715A"/>
    <w:rsid w:val="006B731D"/>
    <w:rsid w:val="006B7E34"/>
    <w:rsid w:val="006C1C31"/>
    <w:rsid w:val="006C3DF4"/>
    <w:rsid w:val="006C4509"/>
    <w:rsid w:val="006C4573"/>
    <w:rsid w:val="006C4836"/>
    <w:rsid w:val="006C497E"/>
    <w:rsid w:val="006C4FD5"/>
    <w:rsid w:val="006C515A"/>
    <w:rsid w:val="006D0410"/>
    <w:rsid w:val="006D1E86"/>
    <w:rsid w:val="006D211F"/>
    <w:rsid w:val="006D2791"/>
    <w:rsid w:val="006D28DA"/>
    <w:rsid w:val="006D2F72"/>
    <w:rsid w:val="006D41AF"/>
    <w:rsid w:val="006D5180"/>
    <w:rsid w:val="006D72B4"/>
    <w:rsid w:val="006E046C"/>
    <w:rsid w:val="006E1EFA"/>
    <w:rsid w:val="006E2332"/>
    <w:rsid w:val="006E367C"/>
    <w:rsid w:val="006E509F"/>
    <w:rsid w:val="006E5680"/>
    <w:rsid w:val="006E58C9"/>
    <w:rsid w:val="006E6226"/>
    <w:rsid w:val="006E6430"/>
    <w:rsid w:val="006E654A"/>
    <w:rsid w:val="006E688A"/>
    <w:rsid w:val="006E6B26"/>
    <w:rsid w:val="006E73FC"/>
    <w:rsid w:val="006E7C2E"/>
    <w:rsid w:val="006E7E48"/>
    <w:rsid w:val="006F04FA"/>
    <w:rsid w:val="006F08FA"/>
    <w:rsid w:val="006F1512"/>
    <w:rsid w:val="006F17A9"/>
    <w:rsid w:val="006F23E7"/>
    <w:rsid w:val="006F3291"/>
    <w:rsid w:val="006F4426"/>
    <w:rsid w:val="006F4976"/>
    <w:rsid w:val="006F66FC"/>
    <w:rsid w:val="006F6A9E"/>
    <w:rsid w:val="006F7ED0"/>
    <w:rsid w:val="0070180F"/>
    <w:rsid w:val="00701B44"/>
    <w:rsid w:val="00701C23"/>
    <w:rsid w:val="00702A9C"/>
    <w:rsid w:val="00703C1A"/>
    <w:rsid w:val="007042AB"/>
    <w:rsid w:val="007044CF"/>
    <w:rsid w:val="007057E5"/>
    <w:rsid w:val="00706463"/>
    <w:rsid w:val="007066C8"/>
    <w:rsid w:val="00706764"/>
    <w:rsid w:val="00706EAB"/>
    <w:rsid w:val="00706FD7"/>
    <w:rsid w:val="007078EA"/>
    <w:rsid w:val="00710D77"/>
    <w:rsid w:val="00711811"/>
    <w:rsid w:val="00714D58"/>
    <w:rsid w:val="00714D6D"/>
    <w:rsid w:val="00717E7C"/>
    <w:rsid w:val="007206AF"/>
    <w:rsid w:val="00720AE8"/>
    <w:rsid w:val="007222AE"/>
    <w:rsid w:val="00723607"/>
    <w:rsid w:val="00723BE1"/>
    <w:rsid w:val="0072528B"/>
    <w:rsid w:val="007254E1"/>
    <w:rsid w:val="007277D9"/>
    <w:rsid w:val="00727EC6"/>
    <w:rsid w:val="00730940"/>
    <w:rsid w:val="00730BE0"/>
    <w:rsid w:val="00730DB5"/>
    <w:rsid w:val="00731E66"/>
    <w:rsid w:val="007321D8"/>
    <w:rsid w:val="00732861"/>
    <w:rsid w:val="00733445"/>
    <w:rsid w:val="00734484"/>
    <w:rsid w:val="0073462B"/>
    <w:rsid w:val="00736760"/>
    <w:rsid w:val="0074149F"/>
    <w:rsid w:val="00741C35"/>
    <w:rsid w:val="00741C46"/>
    <w:rsid w:val="00741E80"/>
    <w:rsid w:val="007424D9"/>
    <w:rsid w:val="00742927"/>
    <w:rsid w:val="00742B9D"/>
    <w:rsid w:val="0074450C"/>
    <w:rsid w:val="00744FE7"/>
    <w:rsid w:val="00744FF9"/>
    <w:rsid w:val="00746A3D"/>
    <w:rsid w:val="00746F19"/>
    <w:rsid w:val="007473B8"/>
    <w:rsid w:val="007475F9"/>
    <w:rsid w:val="00747B5C"/>
    <w:rsid w:val="00747F4D"/>
    <w:rsid w:val="00751E81"/>
    <w:rsid w:val="0075225B"/>
    <w:rsid w:val="00752C4B"/>
    <w:rsid w:val="00752D5A"/>
    <w:rsid w:val="00753A12"/>
    <w:rsid w:val="007563BD"/>
    <w:rsid w:val="007568EC"/>
    <w:rsid w:val="00756F4B"/>
    <w:rsid w:val="0076171E"/>
    <w:rsid w:val="00761F75"/>
    <w:rsid w:val="007635FA"/>
    <w:rsid w:val="0076386F"/>
    <w:rsid w:val="00764742"/>
    <w:rsid w:val="00764C65"/>
    <w:rsid w:val="00765A17"/>
    <w:rsid w:val="00766163"/>
    <w:rsid w:val="00766824"/>
    <w:rsid w:val="00766AF5"/>
    <w:rsid w:val="00767533"/>
    <w:rsid w:val="0076757D"/>
    <w:rsid w:val="00767967"/>
    <w:rsid w:val="00767A3E"/>
    <w:rsid w:val="00771992"/>
    <w:rsid w:val="00771C47"/>
    <w:rsid w:val="0077295F"/>
    <w:rsid w:val="00772D18"/>
    <w:rsid w:val="00773078"/>
    <w:rsid w:val="0077510A"/>
    <w:rsid w:val="00775185"/>
    <w:rsid w:val="007754D7"/>
    <w:rsid w:val="007758A6"/>
    <w:rsid w:val="0077793E"/>
    <w:rsid w:val="00781A80"/>
    <w:rsid w:val="0078246F"/>
    <w:rsid w:val="00782846"/>
    <w:rsid w:val="00786023"/>
    <w:rsid w:val="00786995"/>
    <w:rsid w:val="007910BB"/>
    <w:rsid w:val="00791B22"/>
    <w:rsid w:val="0079253D"/>
    <w:rsid w:val="007927DC"/>
    <w:rsid w:val="00795D96"/>
    <w:rsid w:val="00796AAC"/>
    <w:rsid w:val="00796DE9"/>
    <w:rsid w:val="007A11E1"/>
    <w:rsid w:val="007A1469"/>
    <w:rsid w:val="007A302B"/>
    <w:rsid w:val="007A357E"/>
    <w:rsid w:val="007A39D2"/>
    <w:rsid w:val="007A4AE2"/>
    <w:rsid w:val="007A4ED9"/>
    <w:rsid w:val="007A58CF"/>
    <w:rsid w:val="007A6691"/>
    <w:rsid w:val="007A7009"/>
    <w:rsid w:val="007A7039"/>
    <w:rsid w:val="007A7614"/>
    <w:rsid w:val="007A7ECC"/>
    <w:rsid w:val="007B04E9"/>
    <w:rsid w:val="007B14C5"/>
    <w:rsid w:val="007B229F"/>
    <w:rsid w:val="007B2407"/>
    <w:rsid w:val="007B2C8E"/>
    <w:rsid w:val="007B3765"/>
    <w:rsid w:val="007B41DB"/>
    <w:rsid w:val="007B4BE7"/>
    <w:rsid w:val="007B66F1"/>
    <w:rsid w:val="007B6987"/>
    <w:rsid w:val="007C0FCA"/>
    <w:rsid w:val="007C25F6"/>
    <w:rsid w:val="007C270D"/>
    <w:rsid w:val="007C27B1"/>
    <w:rsid w:val="007C2CE4"/>
    <w:rsid w:val="007C2FD9"/>
    <w:rsid w:val="007C3175"/>
    <w:rsid w:val="007C3710"/>
    <w:rsid w:val="007C49F3"/>
    <w:rsid w:val="007C51B0"/>
    <w:rsid w:val="007C7686"/>
    <w:rsid w:val="007C7E28"/>
    <w:rsid w:val="007C7EFB"/>
    <w:rsid w:val="007D070F"/>
    <w:rsid w:val="007D09C8"/>
    <w:rsid w:val="007D0D87"/>
    <w:rsid w:val="007D0F0F"/>
    <w:rsid w:val="007D14E5"/>
    <w:rsid w:val="007D1ABE"/>
    <w:rsid w:val="007D2409"/>
    <w:rsid w:val="007D2BB2"/>
    <w:rsid w:val="007D2E50"/>
    <w:rsid w:val="007D4006"/>
    <w:rsid w:val="007D647D"/>
    <w:rsid w:val="007E0874"/>
    <w:rsid w:val="007E14F8"/>
    <w:rsid w:val="007E1D1F"/>
    <w:rsid w:val="007E2B15"/>
    <w:rsid w:val="007E3257"/>
    <w:rsid w:val="007E53EC"/>
    <w:rsid w:val="007E5D0C"/>
    <w:rsid w:val="007E5EAF"/>
    <w:rsid w:val="007E67BA"/>
    <w:rsid w:val="007E6973"/>
    <w:rsid w:val="007E6A53"/>
    <w:rsid w:val="007F0C70"/>
    <w:rsid w:val="007F1C57"/>
    <w:rsid w:val="007F1EC3"/>
    <w:rsid w:val="007F3017"/>
    <w:rsid w:val="007F4B90"/>
    <w:rsid w:val="007F589B"/>
    <w:rsid w:val="007F5E12"/>
    <w:rsid w:val="007F711C"/>
    <w:rsid w:val="008000C1"/>
    <w:rsid w:val="00800124"/>
    <w:rsid w:val="00800695"/>
    <w:rsid w:val="00801A6E"/>
    <w:rsid w:val="00801EDD"/>
    <w:rsid w:val="00802628"/>
    <w:rsid w:val="00802B21"/>
    <w:rsid w:val="0080390D"/>
    <w:rsid w:val="008048FD"/>
    <w:rsid w:val="008055CA"/>
    <w:rsid w:val="008056F7"/>
    <w:rsid w:val="00805F19"/>
    <w:rsid w:val="0080601C"/>
    <w:rsid w:val="00806315"/>
    <w:rsid w:val="0080761E"/>
    <w:rsid w:val="00807A14"/>
    <w:rsid w:val="00807EE6"/>
    <w:rsid w:val="0081084C"/>
    <w:rsid w:val="008112BE"/>
    <w:rsid w:val="00811CEF"/>
    <w:rsid w:val="00811D49"/>
    <w:rsid w:val="008123F5"/>
    <w:rsid w:val="0081290D"/>
    <w:rsid w:val="00812C6C"/>
    <w:rsid w:val="008140F5"/>
    <w:rsid w:val="008143FD"/>
    <w:rsid w:val="00814BFD"/>
    <w:rsid w:val="00815193"/>
    <w:rsid w:val="008174BE"/>
    <w:rsid w:val="0081770D"/>
    <w:rsid w:val="00822FD9"/>
    <w:rsid w:val="008237F3"/>
    <w:rsid w:val="00823E1E"/>
    <w:rsid w:val="0082458C"/>
    <w:rsid w:val="00825842"/>
    <w:rsid w:val="00825AC7"/>
    <w:rsid w:val="00826F2A"/>
    <w:rsid w:val="008324C4"/>
    <w:rsid w:val="008328F5"/>
    <w:rsid w:val="00832AD0"/>
    <w:rsid w:val="0083453D"/>
    <w:rsid w:val="008347CE"/>
    <w:rsid w:val="00837C00"/>
    <w:rsid w:val="00837D7C"/>
    <w:rsid w:val="00837E3B"/>
    <w:rsid w:val="00840003"/>
    <w:rsid w:val="00842416"/>
    <w:rsid w:val="00842DCE"/>
    <w:rsid w:val="00842F60"/>
    <w:rsid w:val="008436F5"/>
    <w:rsid w:val="00843923"/>
    <w:rsid w:val="00843EAB"/>
    <w:rsid w:val="00844D3A"/>
    <w:rsid w:val="008462A2"/>
    <w:rsid w:val="00846D44"/>
    <w:rsid w:val="0084708A"/>
    <w:rsid w:val="0084796E"/>
    <w:rsid w:val="0085110D"/>
    <w:rsid w:val="008527B5"/>
    <w:rsid w:val="00853A42"/>
    <w:rsid w:val="008540C3"/>
    <w:rsid w:val="00856237"/>
    <w:rsid w:val="00856668"/>
    <w:rsid w:val="00857795"/>
    <w:rsid w:val="00860478"/>
    <w:rsid w:val="00860C2C"/>
    <w:rsid w:val="00862A39"/>
    <w:rsid w:val="008639F5"/>
    <w:rsid w:val="0086515C"/>
    <w:rsid w:val="008655B5"/>
    <w:rsid w:val="008666C1"/>
    <w:rsid w:val="00867B20"/>
    <w:rsid w:val="00870163"/>
    <w:rsid w:val="008713B4"/>
    <w:rsid w:val="00871880"/>
    <w:rsid w:val="00871F10"/>
    <w:rsid w:val="00872089"/>
    <w:rsid w:val="0087373C"/>
    <w:rsid w:val="00874117"/>
    <w:rsid w:val="00874347"/>
    <w:rsid w:val="00876BB9"/>
    <w:rsid w:val="00876BE3"/>
    <w:rsid w:val="00877102"/>
    <w:rsid w:val="00877C2C"/>
    <w:rsid w:val="00881E23"/>
    <w:rsid w:val="0088205A"/>
    <w:rsid w:val="00882289"/>
    <w:rsid w:val="008824CF"/>
    <w:rsid w:val="00884469"/>
    <w:rsid w:val="00890459"/>
    <w:rsid w:val="00891401"/>
    <w:rsid w:val="00891D2A"/>
    <w:rsid w:val="00892E97"/>
    <w:rsid w:val="0089314C"/>
    <w:rsid w:val="00893D3A"/>
    <w:rsid w:val="00894AFD"/>
    <w:rsid w:val="00896294"/>
    <w:rsid w:val="008967A5"/>
    <w:rsid w:val="008A0529"/>
    <w:rsid w:val="008A069B"/>
    <w:rsid w:val="008A0D7D"/>
    <w:rsid w:val="008A0F97"/>
    <w:rsid w:val="008A1D8A"/>
    <w:rsid w:val="008A2A4A"/>
    <w:rsid w:val="008A2CDB"/>
    <w:rsid w:val="008A3565"/>
    <w:rsid w:val="008A3E6F"/>
    <w:rsid w:val="008A406F"/>
    <w:rsid w:val="008A4A6C"/>
    <w:rsid w:val="008A4F90"/>
    <w:rsid w:val="008A5F8F"/>
    <w:rsid w:val="008A5FEC"/>
    <w:rsid w:val="008A6764"/>
    <w:rsid w:val="008A7137"/>
    <w:rsid w:val="008B1288"/>
    <w:rsid w:val="008B28FC"/>
    <w:rsid w:val="008B3869"/>
    <w:rsid w:val="008B3995"/>
    <w:rsid w:val="008B3E7E"/>
    <w:rsid w:val="008B4295"/>
    <w:rsid w:val="008B61A3"/>
    <w:rsid w:val="008B652F"/>
    <w:rsid w:val="008B6E9D"/>
    <w:rsid w:val="008B79B1"/>
    <w:rsid w:val="008B7D6B"/>
    <w:rsid w:val="008C0977"/>
    <w:rsid w:val="008C09B6"/>
    <w:rsid w:val="008C20B7"/>
    <w:rsid w:val="008C23B6"/>
    <w:rsid w:val="008C2D42"/>
    <w:rsid w:val="008C2D75"/>
    <w:rsid w:val="008C368A"/>
    <w:rsid w:val="008C3EB9"/>
    <w:rsid w:val="008C4044"/>
    <w:rsid w:val="008C630F"/>
    <w:rsid w:val="008D0932"/>
    <w:rsid w:val="008D10DC"/>
    <w:rsid w:val="008D192E"/>
    <w:rsid w:val="008D2063"/>
    <w:rsid w:val="008D3297"/>
    <w:rsid w:val="008D34D0"/>
    <w:rsid w:val="008D378F"/>
    <w:rsid w:val="008D3FCA"/>
    <w:rsid w:val="008D4074"/>
    <w:rsid w:val="008D4C47"/>
    <w:rsid w:val="008D6A9F"/>
    <w:rsid w:val="008E1B0B"/>
    <w:rsid w:val="008E2667"/>
    <w:rsid w:val="008E2F3D"/>
    <w:rsid w:val="008E39C9"/>
    <w:rsid w:val="008E44F3"/>
    <w:rsid w:val="008E45ED"/>
    <w:rsid w:val="008E6B3E"/>
    <w:rsid w:val="008E77EB"/>
    <w:rsid w:val="008F0193"/>
    <w:rsid w:val="008F05CD"/>
    <w:rsid w:val="008F1FC9"/>
    <w:rsid w:val="008F506C"/>
    <w:rsid w:val="008F777F"/>
    <w:rsid w:val="008F7C5C"/>
    <w:rsid w:val="008F7E3D"/>
    <w:rsid w:val="00900930"/>
    <w:rsid w:val="009014E5"/>
    <w:rsid w:val="009030ED"/>
    <w:rsid w:val="00904DCD"/>
    <w:rsid w:val="009053EB"/>
    <w:rsid w:val="00905A56"/>
    <w:rsid w:val="00906693"/>
    <w:rsid w:val="0090699B"/>
    <w:rsid w:val="00906A90"/>
    <w:rsid w:val="00907E35"/>
    <w:rsid w:val="009107BA"/>
    <w:rsid w:val="009108EF"/>
    <w:rsid w:val="00910B23"/>
    <w:rsid w:val="00910C1E"/>
    <w:rsid w:val="00911525"/>
    <w:rsid w:val="0091295F"/>
    <w:rsid w:val="00912A39"/>
    <w:rsid w:val="00913283"/>
    <w:rsid w:val="0091352C"/>
    <w:rsid w:val="009136FF"/>
    <w:rsid w:val="009139D5"/>
    <w:rsid w:val="0091471F"/>
    <w:rsid w:val="009166C2"/>
    <w:rsid w:val="00917407"/>
    <w:rsid w:val="00917D99"/>
    <w:rsid w:val="00920747"/>
    <w:rsid w:val="0092113D"/>
    <w:rsid w:val="00922BCF"/>
    <w:rsid w:val="00925D46"/>
    <w:rsid w:val="009263AA"/>
    <w:rsid w:val="00926792"/>
    <w:rsid w:val="00926957"/>
    <w:rsid w:val="00926AFD"/>
    <w:rsid w:val="00930461"/>
    <w:rsid w:val="00930793"/>
    <w:rsid w:val="00930B29"/>
    <w:rsid w:val="00930CA6"/>
    <w:rsid w:val="00930D63"/>
    <w:rsid w:val="00932120"/>
    <w:rsid w:val="00932277"/>
    <w:rsid w:val="00932E3C"/>
    <w:rsid w:val="009334B7"/>
    <w:rsid w:val="00934CED"/>
    <w:rsid w:val="00935D09"/>
    <w:rsid w:val="00935E0E"/>
    <w:rsid w:val="00937D2D"/>
    <w:rsid w:val="0094124F"/>
    <w:rsid w:val="00941491"/>
    <w:rsid w:val="00941851"/>
    <w:rsid w:val="00943CF1"/>
    <w:rsid w:val="00943F16"/>
    <w:rsid w:val="00944491"/>
    <w:rsid w:val="00944664"/>
    <w:rsid w:val="00944E7A"/>
    <w:rsid w:val="00945818"/>
    <w:rsid w:val="00946456"/>
    <w:rsid w:val="00946E85"/>
    <w:rsid w:val="00947372"/>
    <w:rsid w:val="00947ACD"/>
    <w:rsid w:val="00950675"/>
    <w:rsid w:val="00950CCE"/>
    <w:rsid w:val="009518B2"/>
    <w:rsid w:val="009519BD"/>
    <w:rsid w:val="00951A07"/>
    <w:rsid w:val="009521DF"/>
    <w:rsid w:val="009522F8"/>
    <w:rsid w:val="00952A6A"/>
    <w:rsid w:val="00954940"/>
    <w:rsid w:val="00955129"/>
    <w:rsid w:val="00955194"/>
    <w:rsid w:val="00955B23"/>
    <w:rsid w:val="00955D46"/>
    <w:rsid w:val="00956E9D"/>
    <w:rsid w:val="00961293"/>
    <w:rsid w:val="009612BC"/>
    <w:rsid w:val="00963F7F"/>
    <w:rsid w:val="00964069"/>
    <w:rsid w:val="009640FE"/>
    <w:rsid w:val="00964184"/>
    <w:rsid w:val="0096418F"/>
    <w:rsid w:val="00965961"/>
    <w:rsid w:val="00965E22"/>
    <w:rsid w:val="00967243"/>
    <w:rsid w:val="00967313"/>
    <w:rsid w:val="00967BAC"/>
    <w:rsid w:val="0097029E"/>
    <w:rsid w:val="00970FA3"/>
    <w:rsid w:val="00972B21"/>
    <w:rsid w:val="00972EB6"/>
    <w:rsid w:val="0097357C"/>
    <w:rsid w:val="009745EF"/>
    <w:rsid w:val="009757AF"/>
    <w:rsid w:val="00975A62"/>
    <w:rsid w:val="00975E80"/>
    <w:rsid w:val="00977046"/>
    <w:rsid w:val="009774F9"/>
    <w:rsid w:val="0098082D"/>
    <w:rsid w:val="00980B0F"/>
    <w:rsid w:val="00980E38"/>
    <w:rsid w:val="009843D1"/>
    <w:rsid w:val="00984A71"/>
    <w:rsid w:val="009905FB"/>
    <w:rsid w:val="009907DC"/>
    <w:rsid w:val="009916C9"/>
    <w:rsid w:val="00993390"/>
    <w:rsid w:val="009938FA"/>
    <w:rsid w:val="00994584"/>
    <w:rsid w:val="00994AA4"/>
    <w:rsid w:val="00994EB2"/>
    <w:rsid w:val="0099508C"/>
    <w:rsid w:val="0099653C"/>
    <w:rsid w:val="009967D6"/>
    <w:rsid w:val="00997327"/>
    <w:rsid w:val="009A04AF"/>
    <w:rsid w:val="009A1333"/>
    <w:rsid w:val="009A1950"/>
    <w:rsid w:val="009A1B23"/>
    <w:rsid w:val="009A2EBB"/>
    <w:rsid w:val="009A36EE"/>
    <w:rsid w:val="009A443E"/>
    <w:rsid w:val="009A46FE"/>
    <w:rsid w:val="009A4AA1"/>
    <w:rsid w:val="009A5DB9"/>
    <w:rsid w:val="009A5F8F"/>
    <w:rsid w:val="009A60C4"/>
    <w:rsid w:val="009A668C"/>
    <w:rsid w:val="009A674F"/>
    <w:rsid w:val="009A7180"/>
    <w:rsid w:val="009B0022"/>
    <w:rsid w:val="009B16AD"/>
    <w:rsid w:val="009B1B63"/>
    <w:rsid w:val="009B280A"/>
    <w:rsid w:val="009B35D2"/>
    <w:rsid w:val="009B3C3F"/>
    <w:rsid w:val="009B3FDB"/>
    <w:rsid w:val="009B4A6E"/>
    <w:rsid w:val="009B5008"/>
    <w:rsid w:val="009B53DB"/>
    <w:rsid w:val="009B5713"/>
    <w:rsid w:val="009B5821"/>
    <w:rsid w:val="009B5BD3"/>
    <w:rsid w:val="009B616F"/>
    <w:rsid w:val="009B67FE"/>
    <w:rsid w:val="009B7F10"/>
    <w:rsid w:val="009C0AC4"/>
    <w:rsid w:val="009C1198"/>
    <w:rsid w:val="009C177E"/>
    <w:rsid w:val="009C17EB"/>
    <w:rsid w:val="009C271B"/>
    <w:rsid w:val="009C2D0D"/>
    <w:rsid w:val="009C3CAF"/>
    <w:rsid w:val="009C3E93"/>
    <w:rsid w:val="009C5917"/>
    <w:rsid w:val="009C65D7"/>
    <w:rsid w:val="009C6D5B"/>
    <w:rsid w:val="009D1F74"/>
    <w:rsid w:val="009D2B67"/>
    <w:rsid w:val="009D2D64"/>
    <w:rsid w:val="009D526C"/>
    <w:rsid w:val="009D565C"/>
    <w:rsid w:val="009E0D8C"/>
    <w:rsid w:val="009E2A01"/>
    <w:rsid w:val="009E3859"/>
    <w:rsid w:val="009E39F2"/>
    <w:rsid w:val="009E4849"/>
    <w:rsid w:val="009E4A65"/>
    <w:rsid w:val="009E55B4"/>
    <w:rsid w:val="009E75FB"/>
    <w:rsid w:val="009F14B6"/>
    <w:rsid w:val="009F17D1"/>
    <w:rsid w:val="009F1974"/>
    <w:rsid w:val="009F2327"/>
    <w:rsid w:val="009F241A"/>
    <w:rsid w:val="009F3C78"/>
    <w:rsid w:val="009F430A"/>
    <w:rsid w:val="009F4F91"/>
    <w:rsid w:val="009F528C"/>
    <w:rsid w:val="009F5757"/>
    <w:rsid w:val="009F70B0"/>
    <w:rsid w:val="009F7BFF"/>
    <w:rsid w:val="00A0076E"/>
    <w:rsid w:val="00A00776"/>
    <w:rsid w:val="00A01A92"/>
    <w:rsid w:val="00A01F87"/>
    <w:rsid w:val="00A040C1"/>
    <w:rsid w:val="00A04D40"/>
    <w:rsid w:val="00A0605F"/>
    <w:rsid w:val="00A06D4A"/>
    <w:rsid w:val="00A07D73"/>
    <w:rsid w:val="00A10886"/>
    <w:rsid w:val="00A129A1"/>
    <w:rsid w:val="00A1336A"/>
    <w:rsid w:val="00A137A1"/>
    <w:rsid w:val="00A1396D"/>
    <w:rsid w:val="00A142E4"/>
    <w:rsid w:val="00A14B86"/>
    <w:rsid w:val="00A15944"/>
    <w:rsid w:val="00A15AD1"/>
    <w:rsid w:val="00A1756D"/>
    <w:rsid w:val="00A17603"/>
    <w:rsid w:val="00A20838"/>
    <w:rsid w:val="00A20AB4"/>
    <w:rsid w:val="00A2146B"/>
    <w:rsid w:val="00A22A90"/>
    <w:rsid w:val="00A24131"/>
    <w:rsid w:val="00A250F7"/>
    <w:rsid w:val="00A25F48"/>
    <w:rsid w:val="00A26964"/>
    <w:rsid w:val="00A27000"/>
    <w:rsid w:val="00A300DD"/>
    <w:rsid w:val="00A30986"/>
    <w:rsid w:val="00A30AB1"/>
    <w:rsid w:val="00A30FF6"/>
    <w:rsid w:val="00A316F1"/>
    <w:rsid w:val="00A3230F"/>
    <w:rsid w:val="00A33526"/>
    <w:rsid w:val="00A33E72"/>
    <w:rsid w:val="00A34360"/>
    <w:rsid w:val="00A345DC"/>
    <w:rsid w:val="00A34DD0"/>
    <w:rsid w:val="00A35362"/>
    <w:rsid w:val="00A35434"/>
    <w:rsid w:val="00A354CE"/>
    <w:rsid w:val="00A365A2"/>
    <w:rsid w:val="00A368B1"/>
    <w:rsid w:val="00A36EDA"/>
    <w:rsid w:val="00A37A93"/>
    <w:rsid w:val="00A40B8F"/>
    <w:rsid w:val="00A40D66"/>
    <w:rsid w:val="00A41660"/>
    <w:rsid w:val="00A41DEB"/>
    <w:rsid w:val="00A41E6C"/>
    <w:rsid w:val="00A439E9"/>
    <w:rsid w:val="00A43A40"/>
    <w:rsid w:val="00A46DAC"/>
    <w:rsid w:val="00A50E9C"/>
    <w:rsid w:val="00A518C7"/>
    <w:rsid w:val="00A52372"/>
    <w:rsid w:val="00A5282A"/>
    <w:rsid w:val="00A5302D"/>
    <w:rsid w:val="00A53568"/>
    <w:rsid w:val="00A53990"/>
    <w:rsid w:val="00A54577"/>
    <w:rsid w:val="00A55018"/>
    <w:rsid w:val="00A552F2"/>
    <w:rsid w:val="00A55B76"/>
    <w:rsid w:val="00A56A39"/>
    <w:rsid w:val="00A5753E"/>
    <w:rsid w:val="00A6014C"/>
    <w:rsid w:val="00A61716"/>
    <w:rsid w:val="00A6212A"/>
    <w:rsid w:val="00A6237A"/>
    <w:rsid w:val="00A65585"/>
    <w:rsid w:val="00A65910"/>
    <w:rsid w:val="00A65E2A"/>
    <w:rsid w:val="00A6771F"/>
    <w:rsid w:val="00A67CB4"/>
    <w:rsid w:val="00A710F8"/>
    <w:rsid w:val="00A758B2"/>
    <w:rsid w:val="00A75BEC"/>
    <w:rsid w:val="00A75C68"/>
    <w:rsid w:val="00A81C61"/>
    <w:rsid w:val="00A824FB"/>
    <w:rsid w:val="00A83A0B"/>
    <w:rsid w:val="00A84D1E"/>
    <w:rsid w:val="00A8521A"/>
    <w:rsid w:val="00A855D1"/>
    <w:rsid w:val="00A85E00"/>
    <w:rsid w:val="00A86ECD"/>
    <w:rsid w:val="00A87DE0"/>
    <w:rsid w:val="00A9009B"/>
    <w:rsid w:val="00A90CB7"/>
    <w:rsid w:val="00A90F2E"/>
    <w:rsid w:val="00A91D65"/>
    <w:rsid w:val="00A92459"/>
    <w:rsid w:val="00A93565"/>
    <w:rsid w:val="00A9491A"/>
    <w:rsid w:val="00A95078"/>
    <w:rsid w:val="00A950C8"/>
    <w:rsid w:val="00A95358"/>
    <w:rsid w:val="00A95D4E"/>
    <w:rsid w:val="00A96829"/>
    <w:rsid w:val="00A96B39"/>
    <w:rsid w:val="00AA05B8"/>
    <w:rsid w:val="00AA094A"/>
    <w:rsid w:val="00AA0A40"/>
    <w:rsid w:val="00AA0C62"/>
    <w:rsid w:val="00AA0F7B"/>
    <w:rsid w:val="00AA0F8F"/>
    <w:rsid w:val="00AA1DA2"/>
    <w:rsid w:val="00AA25BD"/>
    <w:rsid w:val="00AA2719"/>
    <w:rsid w:val="00AA33E9"/>
    <w:rsid w:val="00AA4001"/>
    <w:rsid w:val="00AA455B"/>
    <w:rsid w:val="00AA4FFE"/>
    <w:rsid w:val="00AA6735"/>
    <w:rsid w:val="00AA7B23"/>
    <w:rsid w:val="00AA7CED"/>
    <w:rsid w:val="00AB1048"/>
    <w:rsid w:val="00AB1B93"/>
    <w:rsid w:val="00AB1C9E"/>
    <w:rsid w:val="00AB2EB2"/>
    <w:rsid w:val="00AB38FD"/>
    <w:rsid w:val="00AB3D0A"/>
    <w:rsid w:val="00AB3F7E"/>
    <w:rsid w:val="00AB5505"/>
    <w:rsid w:val="00AB634B"/>
    <w:rsid w:val="00AB7D0E"/>
    <w:rsid w:val="00AB7E66"/>
    <w:rsid w:val="00AC0D57"/>
    <w:rsid w:val="00AC0E81"/>
    <w:rsid w:val="00AC11D1"/>
    <w:rsid w:val="00AC1382"/>
    <w:rsid w:val="00AC1719"/>
    <w:rsid w:val="00AC1C97"/>
    <w:rsid w:val="00AC235F"/>
    <w:rsid w:val="00AC263C"/>
    <w:rsid w:val="00AC2DE3"/>
    <w:rsid w:val="00AC397D"/>
    <w:rsid w:val="00AC41F3"/>
    <w:rsid w:val="00AC786E"/>
    <w:rsid w:val="00AC7EC2"/>
    <w:rsid w:val="00AD00CD"/>
    <w:rsid w:val="00AD162A"/>
    <w:rsid w:val="00AD2102"/>
    <w:rsid w:val="00AD264E"/>
    <w:rsid w:val="00AD345B"/>
    <w:rsid w:val="00AD45D7"/>
    <w:rsid w:val="00AD5851"/>
    <w:rsid w:val="00AD6AB5"/>
    <w:rsid w:val="00AE0117"/>
    <w:rsid w:val="00AE04F6"/>
    <w:rsid w:val="00AE131B"/>
    <w:rsid w:val="00AE1384"/>
    <w:rsid w:val="00AE14E4"/>
    <w:rsid w:val="00AE1CFD"/>
    <w:rsid w:val="00AE1F91"/>
    <w:rsid w:val="00AE2D1F"/>
    <w:rsid w:val="00AE498A"/>
    <w:rsid w:val="00AE4D17"/>
    <w:rsid w:val="00AE59A2"/>
    <w:rsid w:val="00AE690C"/>
    <w:rsid w:val="00AE69F0"/>
    <w:rsid w:val="00AF02BF"/>
    <w:rsid w:val="00AF0741"/>
    <w:rsid w:val="00AF145F"/>
    <w:rsid w:val="00AF4848"/>
    <w:rsid w:val="00AF50A9"/>
    <w:rsid w:val="00AF5212"/>
    <w:rsid w:val="00AF6C2F"/>
    <w:rsid w:val="00AF7153"/>
    <w:rsid w:val="00AF725B"/>
    <w:rsid w:val="00AF75D1"/>
    <w:rsid w:val="00AF7BC8"/>
    <w:rsid w:val="00B0025D"/>
    <w:rsid w:val="00B0027B"/>
    <w:rsid w:val="00B0057D"/>
    <w:rsid w:val="00B00635"/>
    <w:rsid w:val="00B010DC"/>
    <w:rsid w:val="00B0147C"/>
    <w:rsid w:val="00B02024"/>
    <w:rsid w:val="00B029BF"/>
    <w:rsid w:val="00B040ED"/>
    <w:rsid w:val="00B04308"/>
    <w:rsid w:val="00B04662"/>
    <w:rsid w:val="00B059D0"/>
    <w:rsid w:val="00B05B20"/>
    <w:rsid w:val="00B07AEE"/>
    <w:rsid w:val="00B11806"/>
    <w:rsid w:val="00B11A15"/>
    <w:rsid w:val="00B11AE9"/>
    <w:rsid w:val="00B125F2"/>
    <w:rsid w:val="00B125F4"/>
    <w:rsid w:val="00B14746"/>
    <w:rsid w:val="00B1499A"/>
    <w:rsid w:val="00B15B78"/>
    <w:rsid w:val="00B17037"/>
    <w:rsid w:val="00B17389"/>
    <w:rsid w:val="00B20CD9"/>
    <w:rsid w:val="00B21FA7"/>
    <w:rsid w:val="00B22430"/>
    <w:rsid w:val="00B2282A"/>
    <w:rsid w:val="00B22F30"/>
    <w:rsid w:val="00B239C5"/>
    <w:rsid w:val="00B23C16"/>
    <w:rsid w:val="00B23F3A"/>
    <w:rsid w:val="00B241CF"/>
    <w:rsid w:val="00B241D3"/>
    <w:rsid w:val="00B244A3"/>
    <w:rsid w:val="00B24B0D"/>
    <w:rsid w:val="00B25CA0"/>
    <w:rsid w:val="00B26F3A"/>
    <w:rsid w:val="00B303E2"/>
    <w:rsid w:val="00B30F02"/>
    <w:rsid w:val="00B31CE0"/>
    <w:rsid w:val="00B3229A"/>
    <w:rsid w:val="00B323CB"/>
    <w:rsid w:val="00B32512"/>
    <w:rsid w:val="00B32626"/>
    <w:rsid w:val="00B330EB"/>
    <w:rsid w:val="00B334F0"/>
    <w:rsid w:val="00B356A5"/>
    <w:rsid w:val="00B3609C"/>
    <w:rsid w:val="00B364D3"/>
    <w:rsid w:val="00B36841"/>
    <w:rsid w:val="00B37052"/>
    <w:rsid w:val="00B41C7F"/>
    <w:rsid w:val="00B4256A"/>
    <w:rsid w:val="00B43357"/>
    <w:rsid w:val="00B43C1A"/>
    <w:rsid w:val="00B4674A"/>
    <w:rsid w:val="00B47397"/>
    <w:rsid w:val="00B4743C"/>
    <w:rsid w:val="00B4750A"/>
    <w:rsid w:val="00B500B2"/>
    <w:rsid w:val="00B515AC"/>
    <w:rsid w:val="00B51D11"/>
    <w:rsid w:val="00B52FB5"/>
    <w:rsid w:val="00B533DF"/>
    <w:rsid w:val="00B53A2E"/>
    <w:rsid w:val="00B53BC1"/>
    <w:rsid w:val="00B53C03"/>
    <w:rsid w:val="00B53CDF"/>
    <w:rsid w:val="00B54AC2"/>
    <w:rsid w:val="00B56492"/>
    <w:rsid w:val="00B5682A"/>
    <w:rsid w:val="00B57ED8"/>
    <w:rsid w:val="00B62504"/>
    <w:rsid w:val="00B633EE"/>
    <w:rsid w:val="00B63472"/>
    <w:rsid w:val="00B63668"/>
    <w:rsid w:val="00B640FA"/>
    <w:rsid w:val="00B643C1"/>
    <w:rsid w:val="00B64CC4"/>
    <w:rsid w:val="00B64F6A"/>
    <w:rsid w:val="00B66DCB"/>
    <w:rsid w:val="00B7087B"/>
    <w:rsid w:val="00B7157B"/>
    <w:rsid w:val="00B715A9"/>
    <w:rsid w:val="00B742DB"/>
    <w:rsid w:val="00B74BF2"/>
    <w:rsid w:val="00B75192"/>
    <w:rsid w:val="00B75C0A"/>
    <w:rsid w:val="00B75C48"/>
    <w:rsid w:val="00B772AF"/>
    <w:rsid w:val="00B77572"/>
    <w:rsid w:val="00B7789A"/>
    <w:rsid w:val="00B80CBA"/>
    <w:rsid w:val="00B81F1F"/>
    <w:rsid w:val="00B82461"/>
    <w:rsid w:val="00B82671"/>
    <w:rsid w:val="00B8268F"/>
    <w:rsid w:val="00B83F18"/>
    <w:rsid w:val="00B84C41"/>
    <w:rsid w:val="00B85060"/>
    <w:rsid w:val="00B86D2B"/>
    <w:rsid w:val="00B90245"/>
    <w:rsid w:val="00B90E8D"/>
    <w:rsid w:val="00B91E31"/>
    <w:rsid w:val="00B92B6C"/>
    <w:rsid w:val="00B92BFE"/>
    <w:rsid w:val="00B93344"/>
    <w:rsid w:val="00B93954"/>
    <w:rsid w:val="00B955C8"/>
    <w:rsid w:val="00B95CA6"/>
    <w:rsid w:val="00B97986"/>
    <w:rsid w:val="00BA2BE6"/>
    <w:rsid w:val="00BA3CFC"/>
    <w:rsid w:val="00BA4240"/>
    <w:rsid w:val="00BA470F"/>
    <w:rsid w:val="00BA4B33"/>
    <w:rsid w:val="00BA5B5A"/>
    <w:rsid w:val="00BA5DC9"/>
    <w:rsid w:val="00BA6024"/>
    <w:rsid w:val="00BA6A05"/>
    <w:rsid w:val="00BA7037"/>
    <w:rsid w:val="00BA7C7D"/>
    <w:rsid w:val="00BA7DAD"/>
    <w:rsid w:val="00BB0128"/>
    <w:rsid w:val="00BB0205"/>
    <w:rsid w:val="00BB1260"/>
    <w:rsid w:val="00BB1487"/>
    <w:rsid w:val="00BB1C83"/>
    <w:rsid w:val="00BB2555"/>
    <w:rsid w:val="00BB3327"/>
    <w:rsid w:val="00BB5186"/>
    <w:rsid w:val="00BB5594"/>
    <w:rsid w:val="00BB604F"/>
    <w:rsid w:val="00BB6268"/>
    <w:rsid w:val="00BB79A1"/>
    <w:rsid w:val="00BC0E1D"/>
    <w:rsid w:val="00BC0ED2"/>
    <w:rsid w:val="00BC29C4"/>
    <w:rsid w:val="00BC41EF"/>
    <w:rsid w:val="00BC4314"/>
    <w:rsid w:val="00BC431D"/>
    <w:rsid w:val="00BC4A41"/>
    <w:rsid w:val="00BC6695"/>
    <w:rsid w:val="00BC6D8C"/>
    <w:rsid w:val="00BC6EA2"/>
    <w:rsid w:val="00BC7F1B"/>
    <w:rsid w:val="00BC7F84"/>
    <w:rsid w:val="00BD097C"/>
    <w:rsid w:val="00BD11AB"/>
    <w:rsid w:val="00BD1C57"/>
    <w:rsid w:val="00BD28AF"/>
    <w:rsid w:val="00BD3599"/>
    <w:rsid w:val="00BD39ED"/>
    <w:rsid w:val="00BD4484"/>
    <w:rsid w:val="00BD4F8A"/>
    <w:rsid w:val="00BD62FB"/>
    <w:rsid w:val="00BD667F"/>
    <w:rsid w:val="00BD6AC7"/>
    <w:rsid w:val="00BD7063"/>
    <w:rsid w:val="00BE0468"/>
    <w:rsid w:val="00BE0B7F"/>
    <w:rsid w:val="00BE0C68"/>
    <w:rsid w:val="00BE1FDA"/>
    <w:rsid w:val="00BE2316"/>
    <w:rsid w:val="00BE2378"/>
    <w:rsid w:val="00BE23D5"/>
    <w:rsid w:val="00BE2C1A"/>
    <w:rsid w:val="00BE30C2"/>
    <w:rsid w:val="00BE33A5"/>
    <w:rsid w:val="00BE4027"/>
    <w:rsid w:val="00BE5944"/>
    <w:rsid w:val="00BE5BBF"/>
    <w:rsid w:val="00BE70FF"/>
    <w:rsid w:val="00BE79F9"/>
    <w:rsid w:val="00BF0D4D"/>
    <w:rsid w:val="00BF0FD4"/>
    <w:rsid w:val="00BF1407"/>
    <w:rsid w:val="00BF1FEF"/>
    <w:rsid w:val="00BF22F1"/>
    <w:rsid w:val="00BF2512"/>
    <w:rsid w:val="00BF2DAC"/>
    <w:rsid w:val="00BF3E24"/>
    <w:rsid w:val="00BF418D"/>
    <w:rsid w:val="00BF5796"/>
    <w:rsid w:val="00BF583D"/>
    <w:rsid w:val="00BF5D25"/>
    <w:rsid w:val="00BF7B79"/>
    <w:rsid w:val="00C0079D"/>
    <w:rsid w:val="00C00E2E"/>
    <w:rsid w:val="00C0102E"/>
    <w:rsid w:val="00C01F71"/>
    <w:rsid w:val="00C01F74"/>
    <w:rsid w:val="00C021D8"/>
    <w:rsid w:val="00C0279B"/>
    <w:rsid w:val="00C02B45"/>
    <w:rsid w:val="00C03A98"/>
    <w:rsid w:val="00C03ED6"/>
    <w:rsid w:val="00C04548"/>
    <w:rsid w:val="00C04E37"/>
    <w:rsid w:val="00C050C5"/>
    <w:rsid w:val="00C05F0F"/>
    <w:rsid w:val="00C0602E"/>
    <w:rsid w:val="00C1048F"/>
    <w:rsid w:val="00C117D9"/>
    <w:rsid w:val="00C118F0"/>
    <w:rsid w:val="00C1201B"/>
    <w:rsid w:val="00C12888"/>
    <w:rsid w:val="00C1397B"/>
    <w:rsid w:val="00C147E1"/>
    <w:rsid w:val="00C1480B"/>
    <w:rsid w:val="00C1492B"/>
    <w:rsid w:val="00C1527C"/>
    <w:rsid w:val="00C15307"/>
    <w:rsid w:val="00C15A43"/>
    <w:rsid w:val="00C15F7E"/>
    <w:rsid w:val="00C17613"/>
    <w:rsid w:val="00C17636"/>
    <w:rsid w:val="00C1778E"/>
    <w:rsid w:val="00C17DB6"/>
    <w:rsid w:val="00C17FB4"/>
    <w:rsid w:val="00C20D44"/>
    <w:rsid w:val="00C225E1"/>
    <w:rsid w:val="00C22CA3"/>
    <w:rsid w:val="00C239C0"/>
    <w:rsid w:val="00C24DD1"/>
    <w:rsid w:val="00C26300"/>
    <w:rsid w:val="00C268DC"/>
    <w:rsid w:val="00C26C5A"/>
    <w:rsid w:val="00C270B6"/>
    <w:rsid w:val="00C274F1"/>
    <w:rsid w:val="00C2753F"/>
    <w:rsid w:val="00C30E16"/>
    <w:rsid w:val="00C31896"/>
    <w:rsid w:val="00C32592"/>
    <w:rsid w:val="00C329AC"/>
    <w:rsid w:val="00C338A9"/>
    <w:rsid w:val="00C3425E"/>
    <w:rsid w:val="00C346E6"/>
    <w:rsid w:val="00C348B3"/>
    <w:rsid w:val="00C34C43"/>
    <w:rsid w:val="00C36293"/>
    <w:rsid w:val="00C362E4"/>
    <w:rsid w:val="00C3641F"/>
    <w:rsid w:val="00C369B1"/>
    <w:rsid w:val="00C37116"/>
    <w:rsid w:val="00C40145"/>
    <w:rsid w:val="00C40381"/>
    <w:rsid w:val="00C40598"/>
    <w:rsid w:val="00C41113"/>
    <w:rsid w:val="00C414FA"/>
    <w:rsid w:val="00C41520"/>
    <w:rsid w:val="00C41707"/>
    <w:rsid w:val="00C42E91"/>
    <w:rsid w:val="00C43DEB"/>
    <w:rsid w:val="00C44242"/>
    <w:rsid w:val="00C44719"/>
    <w:rsid w:val="00C450BC"/>
    <w:rsid w:val="00C4644F"/>
    <w:rsid w:val="00C464D8"/>
    <w:rsid w:val="00C4671E"/>
    <w:rsid w:val="00C478E8"/>
    <w:rsid w:val="00C47C3F"/>
    <w:rsid w:val="00C50144"/>
    <w:rsid w:val="00C503DF"/>
    <w:rsid w:val="00C50885"/>
    <w:rsid w:val="00C517C3"/>
    <w:rsid w:val="00C518EC"/>
    <w:rsid w:val="00C51F18"/>
    <w:rsid w:val="00C5250E"/>
    <w:rsid w:val="00C5308B"/>
    <w:rsid w:val="00C5310F"/>
    <w:rsid w:val="00C53632"/>
    <w:rsid w:val="00C5364D"/>
    <w:rsid w:val="00C54F95"/>
    <w:rsid w:val="00C5739A"/>
    <w:rsid w:val="00C57A25"/>
    <w:rsid w:val="00C6023A"/>
    <w:rsid w:val="00C60AA5"/>
    <w:rsid w:val="00C6129B"/>
    <w:rsid w:val="00C63303"/>
    <w:rsid w:val="00C63C3E"/>
    <w:rsid w:val="00C65CB8"/>
    <w:rsid w:val="00C65E9E"/>
    <w:rsid w:val="00C67B68"/>
    <w:rsid w:val="00C67F2A"/>
    <w:rsid w:val="00C7116C"/>
    <w:rsid w:val="00C7231B"/>
    <w:rsid w:val="00C72707"/>
    <w:rsid w:val="00C744E2"/>
    <w:rsid w:val="00C74CF6"/>
    <w:rsid w:val="00C76893"/>
    <w:rsid w:val="00C76F13"/>
    <w:rsid w:val="00C80385"/>
    <w:rsid w:val="00C80C86"/>
    <w:rsid w:val="00C81175"/>
    <w:rsid w:val="00C818CE"/>
    <w:rsid w:val="00C82030"/>
    <w:rsid w:val="00C82955"/>
    <w:rsid w:val="00C82F7F"/>
    <w:rsid w:val="00C83D31"/>
    <w:rsid w:val="00C86805"/>
    <w:rsid w:val="00C86A3C"/>
    <w:rsid w:val="00C878D3"/>
    <w:rsid w:val="00C87D15"/>
    <w:rsid w:val="00C901F3"/>
    <w:rsid w:val="00C9039B"/>
    <w:rsid w:val="00C906F3"/>
    <w:rsid w:val="00C923DB"/>
    <w:rsid w:val="00C92686"/>
    <w:rsid w:val="00C9268B"/>
    <w:rsid w:val="00C9306D"/>
    <w:rsid w:val="00C943EA"/>
    <w:rsid w:val="00C95356"/>
    <w:rsid w:val="00C96CB0"/>
    <w:rsid w:val="00CA00CF"/>
    <w:rsid w:val="00CA011A"/>
    <w:rsid w:val="00CA0418"/>
    <w:rsid w:val="00CA0A75"/>
    <w:rsid w:val="00CA1BFF"/>
    <w:rsid w:val="00CA3BC2"/>
    <w:rsid w:val="00CA49E1"/>
    <w:rsid w:val="00CA4EAE"/>
    <w:rsid w:val="00CA5248"/>
    <w:rsid w:val="00CA677B"/>
    <w:rsid w:val="00CA684E"/>
    <w:rsid w:val="00CA69F8"/>
    <w:rsid w:val="00CA6E06"/>
    <w:rsid w:val="00CA7DD4"/>
    <w:rsid w:val="00CB00DC"/>
    <w:rsid w:val="00CB0317"/>
    <w:rsid w:val="00CB0D24"/>
    <w:rsid w:val="00CB198E"/>
    <w:rsid w:val="00CB4333"/>
    <w:rsid w:val="00CB6F5E"/>
    <w:rsid w:val="00CB7D61"/>
    <w:rsid w:val="00CC06DC"/>
    <w:rsid w:val="00CC2987"/>
    <w:rsid w:val="00CC2D75"/>
    <w:rsid w:val="00CC3423"/>
    <w:rsid w:val="00CC3B27"/>
    <w:rsid w:val="00CC40FA"/>
    <w:rsid w:val="00CC48C1"/>
    <w:rsid w:val="00CC557C"/>
    <w:rsid w:val="00CC5587"/>
    <w:rsid w:val="00CC56DA"/>
    <w:rsid w:val="00CC56E4"/>
    <w:rsid w:val="00CC5F9D"/>
    <w:rsid w:val="00CC6F9F"/>
    <w:rsid w:val="00CD056C"/>
    <w:rsid w:val="00CD0DFB"/>
    <w:rsid w:val="00CD1B49"/>
    <w:rsid w:val="00CD1F22"/>
    <w:rsid w:val="00CD26FA"/>
    <w:rsid w:val="00CD27FF"/>
    <w:rsid w:val="00CD33C5"/>
    <w:rsid w:val="00CD4147"/>
    <w:rsid w:val="00CD5A86"/>
    <w:rsid w:val="00CD5CE6"/>
    <w:rsid w:val="00CD669A"/>
    <w:rsid w:val="00CD676F"/>
    <w:rsid w:val="00CD6A97"/>
    <w:rsid w:val="00CD6BA9"/>
    <w:rsid w:val="00CD7EDF"/>
    <w:rsid w:val="00CE00BD"/>
    <w:rsid w:val="00CE021A"/>
    <w:rsid w:val="00CE0311"/>
    <w:rsid w:val="00CE1D52"/>
    <w:rsid w:val="00CE292F"/>
    <w:rsid w:val="00CE2C1D"/>
    <w:rsid w:val="00CE3C94"/>
    <w:rsid w:val="00CE3D9A"/>
    <w:rsid w:val="00CE4350"/>
    <w:rsid w:val="00CE5626"/>
    <w:rsid w:val="00CE57A5"/>
    <w:rsid w:val="00CE755A"/>
    <w:rsid w:val="00CE7583"/>
    <w:rsid w:val="00CE7EC3"/>
    <w:rsid w:val="00CF054A"/>
    <w:rsid w:val="00CF0E51"/>
    <w:rsid w:val="00CF20F6"/>
    <w:rsid w:val="00CF312B"/>
    <w:rsid w:val="00CF3248"/>
    <w:rsid w:val="00CF51E9"/>
    <w:rsid w:val="00CF5F6F"/>
    <w:rsid w:val="00CF69C8"/>
    <w:rsid w:val="00CF7148"/>
    <w:rsid w:val="00CF7BCD"/>
    <w:rsid w:val="00CF7E4E"/>
    <w:rsid w:val="00D01155"/>
    <w:rsid w:val="00D03F51"/>
    <w:rsid w:val="00D04316"/>
    <w:rsid w:val="00D043F2"/>
    <w:rsid w:val="00D046A5"/>
    <w:rsid w:val="00D05126"/>
    <w:rsid w:val="00D05DD8"/>
    <w:rsid w:val="00D06023"/>
    <w:rsid w:val="00D06666"/>
    <w:rsid w:val="00D1056E"/>
    <w:rsid w:val="00D114B6"/>
    <w:rsid w:val="00D11A2B"/>
    <w:rsid w:val="00D11DC7"/>
    <w:rsid w:val="00D12A27"/>
    <w:rsid w:val="00D12E82"/>
    <w:rsid w:val="00D12F34"/>
    <w:rsid w:val="00D12F58"/>
    <w:rsid w:val="00D13B4E"/>
    <w:rsid w:val="00D146F0"/>
    <w:rsid w:val="00D14D2B"/>
    <w:rsid w:val="00D15080"/>
    <w:rsid w:val="00D15517"/>
    <w:rsid w:val="00D15CD9"/>
    <w:rsid w:val="00D16624"/>
    <w:rsid w:val="00D168D5"/>
    <w:rsid w:val="00D178D7"/>
    <w:rsid w:val="00D2084B"/>
    <w:rsid w:val="00D248DB"/>
    <w:rsid w:val="00D24CDD"/>
    <w:rsid w:val="00D25C27"/>
    <w:rsid w:val="00D26BF0"/>
    <w:rsid w:val="00D26F09"/>
    <w:rsid w:val="00D274DF"/>
    <w:rsid w:val="00D275C7"/>
    <w:rsid w:val="00D27FCA"/>
    <w:rsid w:val="00D318C5"/>
    <w:rsid w:val="00D32729"/>
    <w:rsid w:val="00D334D6"/>
    <w:rsid w:val="00D340CC"/>
    <w:rsid w:val="00D36786"/>
    <w:rsid w:val="00D36B28"/>
    <w:rsid w:val="00D36E76"/>
    <w:rsid w:val="00D41101"/>
    <w:rsid w:val="00D417AD"/>
    <w:rsid w:val="00D425CA"/>
    <w:rsid w:val="00D42EA1"/>
    <w:rsid w:val="00D43A73"/>
    <w:rsid w:val="00D43FFB"/>
    <w:rsid w:val="00D443B9"/>
    <w:rsid w:val="00D44B8C"/>
    <w:rsid w:val="00D44DED"/>
    <w:rsid w:val="00D44EB6"/>
    <w:rsid w:val="00D44FFA"/>
    <w:rsid w:val="00D4576D"/>
    <w:rsid w:val="00D4582E"/>
    <w:rsid w:val="00D45B41"/>
    <w:rsid w:val="00D45FA1"/>
    <w:rsid w:val="00D46584"/>
    <w:rsid w:val="00D468F1"/>
    <w:rsid w:val="00D46FEA"/>
    <w:rsid w:val="00D47356"/>
    <w:rsid w:val="00D50130"/>
    <w:rsid w:val="00D50782"/>
    <w:rsid w:val="00D50CFD"/>
    <w:rsid w:val="00D51006"/>
    <w:rsid w:val="00D5132D"/>
    <w:rsid w:val="00D517C5"/>
    <w:rsid w:val="00D517E8"/>
    <w:rsid w:val="00D51B0B"/>
    <w:rsid w:val="00D52270"/>
    <w:rsid w:val="00D52A8C"/>
    <w:rsid w:val="00D539EB"/>
    <w:rsid w:val="00D57F24"/>
    <w:rsid w:val="00D60245"/>
    <w:rsid w:val="00D61E96"/>
    <w:rsid w:val="00D61F39"/>
    <w:rsid w:val="00D633C1"/>
    <w:rsid w:val="00D63624"/>
    <w:rsid w:val="00D63F81"/>
    <w:rsid w:val="00D64637"/>
    <w:rsid w:val="00D669A3"/>
    <w:rsid w:val="00D67F57"/>
    <w:rsid w:val="00D70F52"/>
    <w:rsid w:val="00D7134F"/>
    <w:rsid w:val="00D71BE7"/>
    <w:rsid w:val="00D71C4D"/>
    <w:rsid w:val="00D72571"/>
    <w:rsid w:val="00D72D22"/>
    <w:rsid w:val="00D73E00"/>
    <w:rsid w:val="00D758D8"/>
    <w:rsid w:val="00D774C0"/>
    <w:rsid w:val="00D80275"/>
    <w:rsid w:val="00D807C3"/>
    <w:rsid w:val="00D809E3"/>
    <w:rsid w:val="00D80ABD"/>
    <w:rsid w:val="00D81AA8"/>
    <w:rsid w:val="00D822FA"/>
    <w:rsid w:val="00D82441"/>
    <w:rsid w:val="00D83694"/>
    <w:rsid w:val="00D870AB"/>
    <w:rsid w:val="00D873D0"/>
    <w:rsid w:val="00D9002F"/>
    <w:rsid w:val="00D90831"/>
    <w:rsid w:val="00D917C5"/>
    <w:rsid w:val="00D92915"/>
    <w:rsid w:val="00D92BF3"/>
    <w:rsid w:val="00D939B7"/>
    <w:rsid w:val="00D9405A"/>
    <w:rsid w:val="00D962EA"/>
    <w:rsid w:val="00D96C64"/>
    <w:rsid w:val="00D96E58"/>
    <w:rsid w:val="00D97B2C"/>
    <w:rsid w:val="00D97E11"/>
    <w:rsid w:val="00DA0680"/>
    <w:rsid w:val="00DA22C7"/>
    <w:rsid w:val="00DA2663"/>
    <w:rsid w:val="00DA26DF"/>
    <w:rsid w:val="00DA2EFB"/>
    <w:rsid w:val="00DA3543"/>
    <w:rsid w:val="00DA378F"/>
    <w:rsid w:val="00DA3975"/>
    <w:rsid w:val="00DA4691"/>
    <w:rsid w:val="00DA546D"/>
    <w:rsid w:val="00DA671A"/>
    <w:rsid w:val="00DA6AE8"/>
    <w:rsid w:val="00DA6F0E"/>
    <w:rsid w:val="00DA77F4"/>
    <w:rsid w:val="00DA7975"/>
    <w:rsid w:val="00DA7EB8"/>
    <w:rsid w:val="00DB0373"/>
    <w:rsid w:val="00DB1872"/>
    <w:rsid w:val="00DB1AEF"/>
    <w:rsid w:val="00DB22F0"/>
    <w:rsid w:val="00DB371A"/>
    <w:rsid w:val="00DB4C6B"/>
    <w:rsid w:val="00DB543A"/>
    <w:rsid w:val="00DB586C"/>
    <w:rsid w:val="00DB6462"/>
    <w:rsid w:val="00DB7A8A"/>
    <w:rsid w:val="00DC1119"/>
    <w:rsid w:val="00DC1B5E"/>
    <w:rsid w:val="00DC24E6"/>
    <w:rsid w:val="00DC2821"/>
    <w:rsid w:val="00DC3A5D"/>
    <w:rsid w:val="00DC3CED"/>
    <w:rsid w:val="00DC4260"/>
    <w:rsid w:val="00DC5519"/>
    <w:rsid w:val="00DC551C"/>
    <w:rsid w:val="00DC57F2"/>
    <w:rsid w:val="00DC5B85"/>
    <w:rsid w:val="00DC7568"/>
    <w:rsid w:val="00DC7AF4"/>
    <w:rsid w:val="00DD0411"/>
    <w:rsid w:val="00DD0538"/>
    <w:rsid w:val="00DD0835"/>
    <w:rsid w:val="00DD17EC"/>
    <w:rsid w:val="00DD2219"/>
    <w:rsid w:val="00DD2419"/>
    <w:rsid w:val="00DD377F"/>
    <w:rsid w:val="00DD4ED5"/>
    <w:rsid w:val="00DD55C6"/>
    <w:rsid w:val="00DD6FC1"/>
    <w:rsid w:val="00DE003A"/>
    <w:rsid w:val="00DE09CE"/>
    <w:rsid w:val="00DE1F69"/>
    <w:rsid w:val="00DE1FA2"/>
    <w:rsid w:val="00DE2272"/>
    <w:rsid w:val="00DE25DF"/>
    <w:rsid w:val="00DE36C6"/>
    <w:rsid w:val="00DE4B95"/>
    <w:rsid w:val="00DE5103"/>
    <w:rsid w:val="00DE64D5"/>
    <w:rsid w:val="00DE7118"/>
    <w:rsid w:val="00DE7A78"/>
    <w:rsid w:val="00DF0394"/>
    <w:rsid w:val="00DF065C"/>
    <w:rsid w:val="00DF184C"/>
    <w:rsid w:val="00DF4D18"/>
    <w:rsid w:val="00DF557E"/>
    <w:rsid w:val="00DF5739"/>
    <w:rsid w:val="00DF578F"/>
    <w:rsid w:val="00DF5877"/>
    <w:rsid w:val="00DF5FA9"/>
    <w:rsid w:val="00E00F0F"/>
    <w:rsid w:val="00E00F5D"/>
    <w:rsid w:val="00E02AFF"/>
    <w:rsid w:val="00E02CC6"/>
    <w:rsid w:val="00E043EC"/>
    <w:rsid w:val="00E04785"/>
    <w:rsid w:val="00E04FE8"/>
    <w:rsid w:val="00E06753"/>
    <w:rsid w:val="00E0697F"/>
    <w:rsid w:val="00E06993"/>
    <w:rsid w:val="00E06BBD"/>
    <w:rsid w:val="00E0747C"/>
    <w:rsid w:val="00E10A7C"/>
    <w:rsid w:val="00E11EAB"/>
    <w:rsid w:val="00E123DD"/>
    <w:rsid w:val="00E12C97"/>
    <w:rsid w:val="00E131C9"/>
    <w:rsid w:val="00E132CE"/>
    <w:rsid w:val="00E13CA7"/>
    <w:rsid w:val="00E13FDF"/>
    <w:rsid w:val="00E1457C"/>
    <w:rsid w:val="00E149D9"/>
    <w:rsid w:val="00E15C40"/>
    <w:rsid w:val="00E166C0"/>
    <w:rsid w:val="00E16E48"/>
    <w:rsid w:val="00E211BB"/>
    <w:rsid w:val="00E21E83"/>
    <w:rsid w:val="00E231A0"/>
    <w:rsid w:val="00E2409D"/>
    <w:rsid w:val="00E24384"/>
    <w:rsid w:val="00E24602"/>
    <w:rsid w:val="00E26790"/>
    <w:rsid w:val="00E27806"/>
    <w:rsid w:val="00E30381"/>
    <w:rsid w:val="00E30C27"/>
    <w:rsid w:val="00E30EBB"/>
    <w:rsid w:val="00E317C4"/>
    <w:rsid w:val="00E31CD2"/>
    <w:rsid w:val="00E33062"/>
    <w:rsid w:val="00E33233"/>
    <w:rsid w:val="00E33E68"/>
    <w:rsid w:val="00E34276"/>
    <w:rsid w:val="00E34DEA"/>
    <w:rsid w:val="00E36524"/>
    <w:rsid w:val="00E36ACE"/>
    <w:rsid w:val="00E3756B"/>
    <w:rsid w:val="00E377DB"/>
    <w:rsid w:val="00E379B0"/>
    <w:rsid w:val="00E40463"/>
    <w:rsid w:val="00E41418"/>
    <w:rsid w:val="00E41E04"/>
    <w:rsid w:val="00E42B28"/>
    <w:rsid w:val="00E4396E"/>
    <w:rsid w:val="00E44353"/>
    <w:rsid w:val="00E47095"/>
    <w:rsid w:val="00E5043A"/>
    <w:rsid w:val="00E50D71"/>
    <w:rsid w:val="00E5144A"/>
    <w:rsid w:val="00E51A2B"/>
    <w:rsid w:val="00E5259C"/>
    <w:rsid w:val="00E52974"/>
    <w:rsid w:val="00E52B69"/>
    <w:rsid w:val="00E52F2F"/>
    <w:rsid w:val="00E5385E"/>
    <w:rsid w:val="00E53FA5"/>
    <w:rsid w:val="00E56BA0"/>
    <w:rsid w:val="00E56D28"/>
    <w:rsid w:val="00E61B70"/>
    <w:rsid w:val="00E61EE1"/>
    <w:rsid w:val="00E65458"/>
    <w:rsid w:val="00E660B4"/>
    <w:rsid w:val="00E669B4"/>
    <w:rsid w:val="00E6707D"/>
    <w:rsid w:val="00E67192"/>
    <w:rsid w:val="00E67403"/>
    <w:rsid w:val="00E67713"/>
    <w:rsid w:val="00E70666"/>
    <w:rsid w:val="00E71151"/>
    <w:rsid w:val="00E7198A"/>
    <w:rsid w:val="00E72266"/>
    <w:rsid w:val="00E73962"/>
    <w:rsid w:val="00E7407F"/>
    <w:rsid w:val="00E74584"/>
    <w:rsid w:val="00E746B8"/>
    <w:rsid w:val="00E7512D"/>
    <w:rsid w:val="00E75FE7"/>
    <w:rsid w:val="00E77859"/>
    <w:rsid w:val="00E77BA7"/>
    <w:rsid w:val="00E77F71"/>
    <w:rsid w:val="00E8004A"/>
    <w:rsid w:val="00E80ABD"/>
    <w:rsid w:val="00E8101B"/>
    <w:rsid w:val="00E81A64"/>
    <w:rsid w:val="00E8264A"/>
    <w:rsid w:val="00E82769"/>
    <w:rsid w:val="00E84275"/>
    <w:rsid w:val="00E84332"/>
    <w:rsid w:val="00E84484"/>
    <w:rsid w:val="00E846E1"/>
    <w:rsid w:val="00E8622B"/>
    <w:rsid w:val="00E86E24"/>
    <w:rsid w:val="00E873E5"/>
    <w:rsid w:val="00E875CE"/>
    <w:rsid w:val="00E87CC8"/>
    <w:rsid w:val="00E92E13"/>
    <w:rsid w:val="00E93BC1"/>
    <w:rsid w:val="00E93E56"/>
    <w:rsid w:val="00E93EA7"/>
    <w:rsid w:val="00E95637"/>
    <w:rsid w:val="00E96F95"/>
    <w:rsid w:val="00E97D9C"/>
    <w:rsid w:val="00EA0098"/>
    <w:rsid w:val="00EA17FB"/>
    <w:rsid w:val="00EA20C0"/>
    <w:rsid w:val="00EA3CAB"/>
    <w:rsid w:val="00EA4A8D"/>
    <w:rsid w:val="00EA4E47"/>
    <w:rsid w:val="00EA4EC1"/>
    <w:rsid w:val="00EA52D9"/>
    <w:rsid w:val="00EA534C"/>
    <w:rsid w:val="00EA56FE"/>
    <w:rsid w:val="00EA5845"/>
    <w:rsid w:val="00EA6790"/>
    <w:rsid w:val="00EA6C83"/>
    <w:rsid w:val="00EB0A92"/>
    <w:rsid w:val="00EB104A"/>
    <w:rsid w:val="00EB11C1"/>
    <w:rsid w:val="00EB15D3"/>
    <w:rsid w:val="00EB1AE1"/>
    <w:rsid w:val="00EB1FE5"/>
    <w:rsid w:val="00EB320C"/>
    <w:rsid w:val="00EB35ED"/>
    <w:rsid w:val="00EB51DB"/>
    <w:rsid w:val="00EB63AE"/>
    <w:rsid w:val="00EB7943"/>
    <w:rsid w:val="00EC20EF"/>
    <w:rsid w:val="00EC2EAA"/>
    <w:rsid w:val="00EC3581"/>
    <w:rsid w:val="00EC3592"/>
    <w:rsid w:val="00EC3C47"/>
    <w:rsid w:val="00EC503D"/>
    <w:rsid w:val="00EC59ED"/>
    <w:rsid w:val="00EC6EB1"/>
    <w:rsid w:val="00ED0460"/>
    <w:rsid w:val="00ED08E9"/>
    <w:rsid w:val="00ED0FCB"/>
    <w:rsid w:val="00ED1A87"/>
    <w:rsid w:val="00ED1EE8"/>
    <w:rsid w:val="00ED2214"/>
    <w:rsid w:val="00ED35F8"/>
    <w:rsid w:val="00ED3A34"/>
    <w:rsid w:val="00ED4138"/>
    <w:rsid w:val="00ED46D9"/>
    <w:rsid w:val="00ED502F"/>
    <w:rsid w:val="00ED519E"/>
    <w:rsid w:val="00ED54C8"/>
    <w:rsid w:val="00ED59BB"/>
    <w:rsid w:val="00ED5CF8"/>
    <w:rsid w:val="00ED5D0E"/>
    <w:rsid w:val="00ED764B"/>
    <w:rsid w:val="00ED76E4"/>
    <w:rsid w:val="00EE0B35"/>
    <w:rsid w:val="00EE3284"/>
    <w:rsid w:val="00EE33F8"/>
    <w:rsid w:val="00EE4A9C"/>
    <w:rsid w:val="00EE4DF4"/>
    <w:rsid w:val="00EE4F41"/>
    <w:rsid w:val="00EE6119"/>
    <w:rsid w:val="00EE6295"/>
    <w:rsid w:val="00EE63A5"/>
    <w:rsid w:val="00EE6E2D"/>
    <w:rsid w:val="00EE6E98"/>
    <w:rsid w:val="00EE7011"/>
    <w:rsid w:val="00EF00C7"/>
    <w:rsid w:val="00EF111A"/>
    <w:rsid w:val="00EF186C"/>
    <w:rsid w:val="00EF18A1"/>
    <w:rsid w:val="00EF25BA"/>
    <w:rsid w:val="00EF3D49"/>
    <w:rsid w:val="00EF4E1C"/>
    <w:rsid w:val="00EF51AB"/>
    <w:rsid w:val="00EF55C7"/>
    <w:rsid w:val="00EF59F0"/>
    <w:rsid w:val="00EF618A"/>
    <w:rsid w:val="00EF6195"/>
    <w:rsid w:val="00EF6BD2"/>
    <w:rsid w:val="00F0002A"/>
    <w:rsid w:val="00F0077B"/>
    <w:rsid w:val="00F00CED"/>
    <w:rsid w:val="00F01071"/>
    <w:rsid w:val="00F01B95"/>
    <w:rsid w:val="00F01CCF"/>
    <w:rsid w:val="00F02774"/>
    <w:rsid w:val="00F03450"/>
    <w:rsid w:val="00F04B7F"/>
    <w:rsid w:val="00F04D3B"/>
    <w:rsid w:val="00F04E6E"/>
    <w:rsid w:val="00F054D1"/>
    <w:rsid w:val="00F05C6C"/>
    <w:rsid w:val="00F061A8"/>
    <w:rsid w:val="00F11173"/>
    <w:rsid w:val="00F111A3"/>
    <w:rsid w:val="00F1147A"/>
    <w:rsid w:val="00F12278"/>
    <w:rsid w:val="00F12636"/>
    <w:rsid w:val="00F132AB"/>
    <w:rsid w:val="00F13A7D"/>
    <w:rsid w:val="00F13FD3"/>
    <w:rsid w:val="00F153A1"/>
    <w:rsid w:val="00F175E2"/>
    <w:rsid w:val="00F178A8"/>
    <w:rsid w:val="00F202E1"/>
    <w:rsid w:val="00F20471"/>
    <w:rsid w:val="00F215D1"/>
    <w:rsid w:val="00F217BB"/>
    <w:rsid w:val="00F22367"/>
    <w:rsid w:val="00F22D35"/>
    <w:rsid w:val="00F2416F"/>
    <w:rsid w:val="00F24611"/>
    <w:rsid w:val="00F250FF"/>
    <w:rsid w:val="00F25298"/>
    <w:rsid w:val="00F2628D"/>
    <w:rsid w:val="00F26447"/>
    <w:rsid w:val="00F278EA"/>
    <w:rsid w:val="00F27D10"/>
    <w:rsid w:val="00F30173"/>
    <w:rsid w:val="00F30B85"/>
    <w:rsid w:val="00F31873"/>
    <w:rsid w:val="00F3334C"/>
    <w:rsid w:val="00F339BD"/>
    <w:rsid w:val="00F340F7"/>
    <w:rsid w:val="00F34340"/>
    <w:rsid w:val="00F3452D"/>
    <w:rsid w:val="00F34A03"/>
    <w:rsid w:val="00F34B5A"/>
    <w:rsid w:val="00F34D72"/>
    <w:rsid w:val="00F36221"/>
    <w:rsid w:val="00F37633"/>
    <w:rsid w:val="00F4033C"/>
    <w:rsid w:val="00F40687"/>
    <w:rsid w:val="00F40E27"/>
    <w:rsid w:val="00F40F3A"/>
    <w:rsid w:val="00F41C46"/>
    <w:rsid w:val="00F437DE"/>
    <w:rsid w:val="00F44116"/>
    <w:rsid w:val="00F44525"/>
    <w:rsid w:val="00F451EE"/>
    <w:rsid w:val="00F459CA"/>
    <w:rsid w:val="00F476B8"/>
    <w:rsid w:val="00F51E2E"/>
    <w:rsid w:val="00F54537"/>
    <w:rsid w:val="00F5458B"/>
    <w:rsid w:val="00F55A80"/>
    <w:rsid w:val="00F56432"/>
    <w:rsid w:val="00F57CE8"/>
    <w:rsid w:val="00F61C83"/>
    <w:rsid w:val="00F61D43"/>
    <w:rsid w:val="00F6248D"/>
    <w:rsid w:val="00F63437"/>
    <w:rsid w:val="00F652D5"/>
    <w:rsid w:val="00F65603"/>
    <w:rsid w:val="00F65E9B"/>
    <w:rsid w:val="00F704FF"/>
    <w:rsid w:val="00F70739"/>
    <w:rsid w:val="00F70FBE"/>
    <w:rsid w:val="00F734DB"/>
    <w:rsid w:val="00F736BB"/>
    <w:rsid w:val="00F73E49"/>
    <w:rsid w:val="00F75BD7"/>
    <w:rsid w:val="00F75DD3"/>
    <w:rsid w:val="00F77125"/>
    <w:rsid w:val="00F774FD"/>
    <w:rsid w:val="00F77F8A"/>
    <w:rsid w:val="00F806D1"/>
    <w:rsid w:val="00F807A2"/>
    <w:rsid w:val="00F838AB"/>
    <w:rsid w:val="00F83DE7"/>
    <w:rsid w:val="00F84C28"/>
    <w:rsid w:val="00F850BD"/>
    <w:rsid w:val="00F856F9"/>
    <w:rsid w:val="00F867D6"/>
    <w:rsid w:val="00F872C5"/>
    <w:rsid w:val="00F87486"/>
    <w:rsid w:val="00F90064"/>
    <w:rsid w:val="00F91CE5"/>
    <w:rsid w:val="00F91E3A"/>
    <w:rsid w:val="00F9223D"/>
    <w:rsid w:val="00F96DC8"/>
    <w:rsid w:val="00F97C9F"/>
    <w:rsid w:val="00FA1C0E"/>
    <w:rsid w:val="00FA2279"/>
    <w:rsid w:val="00FA2694"/>
    <w:rsid w:val="00FA269C"/>
    <w:rsid w:val="00FA2756"/>
    <w:rsid w:val="00FA34A1"/>
    <w:rsid w:val="00FA3732"/>
    <w:rsid w:val="00FA375C"/>
    <w:rsid w:val="00FA3B2A"/>
    <w:rsid w:val="00FA400F"/>
    <w:rsid w:val="00FA4413"/>
    <w:rsid w:val="00FA4FA2"/>
    <w:rsid w:val="00FA58DD"/>
    <w:rsid w:val="00FA777A"/>
    <w:rsid w:val="00FB01B2"/>
    <w:rsid w:val="00FB03CD"/>
    <w:rsid w:val="00FB044A"/>
    <w:rsid w:val="00FB0755"/>
    <w:rsid w:val="00FB269B"/>
    <w:rsid w:val="00FB4062"/>
    <w:rsid w:val="00FB48EB"/>
    <w:rsid w:val="00FB5081"/>
    <w:rsid w:val="00FB60E6"/>
    <w:rsid w:val="00FB61A8"/>
    <w:rsid w:val="00FB6810"/>
    <w:rsid w:val="00FB6D77"/>
    <w:rsid w:val="00FB71F3"/>
    <w:rsid w:val="00FB7D9A"/>
    <w:rsid w:val="00FB7EE7"/>
    <w:rsid w:val="00FB7F66"/>
    <w:rsid w:val="00FC0704"/>
    <w:rsid w:val="00FC0CCD"/>
    <w:rsid w:val="00FC0D4C"/>
    <w:rsid w:val="00FC0EC2"/>
    <w:rsid w:val="00FC110A"/>
    <w:rsid w:val="00FC1D00"/>
    <w:rsid w:val="00FC3EAC"/>
    <w:rsid w:val="00FC5015"/>
    <w:rsid w:val="00FC5412"/>
    <w:rsid w:val="00FC550B"/>
    <w:rsid w:val="00FC652C"/>
    <w:rsid w:val="00FC69CE"/>
    <w:rsid w:val="00FC78F3"/>
    <w:rsid w:val="00FC79CC"/>
    <w:rsid w:val="00FC7CE2"/>
    <w:rsid w:val="00FD1E1F"/>
    <w:rsid w:val="00FD242A"/>
    <w:rsid w:val="00FD2B78"/>
    <w:rsid w:val="00FD2F3E"/>
    <w:rsid w:val="00FD370B"/>
    <w:rsid w:val="00FD3ED4"/>
    <w:rsid w:val="00FD508A"/>
    <w:rsid w:val="00FD57EB"/>
    <w:rsid w:val="00FD5A3D"/>
    <w:rsid w:val="00FE06FB"/>
    <w:rsid w:val="00FE10EC"/>
    <w:rsid w:val="00FE149E"/>
    <w:rsid w:val="00FE165B"/>
    <w:rsid w:val="00FE1C1D"/>
    <w:rsid w:val="00FE2FBD"/>
    <w:rsid w:val="00FE31EA"/>
    <w:rsid w:val="00FE3447"/>
    <w:rsid w:val="00FE34E9"/>
    <w:rsid w:val="00FE391A"/>
    <w:rsid w:val="00FE443D"/>
    <w:rsid w:val="00FE4B99"/>
    <w:rsid w:val="00FE5E7B"/>
    <w:rsid w:val="00FE5F09"/>
    <w:rsid w:val="00FE6157"/>
    <w:rsid w:val="00FE6A4B"/>
    <w:rsid w:val="00FE6C57"/>
    <w:rsid w:val="00FE7F12"/>
    <w:rsid w:val="00FF1172"/>
    <w:rsid w:val="00FF24BA"/>
    <w:rsid w:val="00FF42D5"/>
    <w:rsid w:val="00FF45EB"/>
    <w:rsid w:val="00FF4CCA"/>
    <w:rsid w:val="00FF6F31"/>
    <w:rsid w:val="00FF733F"/>
    <w:rsid w:val="00FF7B85"/>
    <w:rsid w:val="01916F28"/>
    <w:rsid w:val="04C23DC4"/>
    <w:rsid w:val="0571314A"/>
    <w:rsid w:val="064078AC"/>
    <w:rsid w:val="0E503355"/>
    <w:rsid w:val="0F0E8022"/>
    <w:rsid w:val="1037FE6A"/>
    <w:rsid w:val="11C745DD"/>
    <w:rsid w:val="174BC769"/>
    <w:rsid w:val="1864AC15"/>
    <w:rsid w:val="198F844C"/>
    <w:rsid w:val="19C44B00"/>
    <w:rsid w:val="1A31C004"/>
    <w:rsid w:val="1D373CEC"/>
    <w:rsid w:val="1E0921B0"/>
    <w:rsid w:val="216861F2"/>
    <w:rsid w:val="28CA911C"/>
    <w:rsid w:val="2A208A9A"/>
    <w:rsid w:val="2E113E9C"/>
    <w:rsid w:val="2E98EF0F"/>
    <w:rsid w:val="303AF692"/>
    <w:rsid w:val="31518E1E"/>
    <w:rsid w:val="329BD978"/>
    <w:rsid w:val="339010D1"/>
    <w:rsid w:val="377D6386"/>
    <w:rsid w:val="39C3E79F"/>
    <w:rsid w:val="39DC602C"/>
    <w:rsid w:val="3ABD0A29"/>
    <w:rsid w:val="3C6C13CC"/>
    <w:rsid w:val="3DEDD2A1"/>
    <w:rsid w:val="3E10A2DD"/>
    <w:rsid w:val="40A8FB1C"/>
    <w:rsid w:val="41CCEF0E"/>
    <w:rsid w:val="420AD1DB"/>
    <w:rsid w:val="42FEEBE3"/>
    <w:rsid w:val="43DA2798"/>
    <w:rsid w:val="44613ABE"/>
    <w:rsid w:val="46444BA3"/>
    <w:rsid w:val="46C7E43B"/>
    <w:rsid w:val="46FE594A"/>
    <w:rsid w:val="49584D08"/>
    <w:rsid w:val="49EC3F92"/>
    <w:rsid w:val="4B6FCE7B"/>
    <w:rsid w:val="4BC3D17B"/>
    <w:rsid w:val="4F5C1BC4"/>
    <w:rsid w:val="52330B09"/>
    <w:rsid w:val="52CCFFEE"/>
    <w:rsid w:val="54E966F3"/>
    <w:rsid w:val="56778A1A"/>
    <w:rsid w:val="56891B9B"/>
    <w:rsid w:val="56FD56AE"/>
    <w:rsid w:val="572A9DD3"/>
    <w:rsid w:val="5BB2CCEC"/>
    <w:rsid w:val="5C693A89"/>
    <w:rsid w:val="5DF87896"/>
    <w:rsid w:val="5E1589A3"/>
    <w:rsid w:val="5FD8169A"/>
    <w:rsid w:val="60E0BA35"/>
    <w:rsid w:val="625BD7DB"/>
    <w:rsid w:val="636645C4"/>
    <w:rsid w:val="64E8EB23"/>
    <w:rsid w:val="6937B638"/>
    <w:rsid w:val="6D19EFD3"/>
    <w:rsid w:val="71D35C37"/>
    <w:rsid w:val="73FF86C6"/>
    <w:rsid w:val="74B918E0"/>
    <w:rsid w:val="750BC8C4"/>
    <w:rsid w:val="76A218F5"/>
    <w:rsid w:val="770D51BF"/>
    <w:rsid w:val="776B06AF"/>
    <w:rsid w:val="77FB38D0"/>
    <w:rsid w:val="7845FCFD"/>
    <w:rsid w:val="7B1B4EDE"/>
    <w:rsid w:val="7CCB5C25"/>
    <w:rsid w:val="7D4BC56E"/>
    <w:rsid w:val="7F0B3D5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8D044"/>
  <w15:chartTrackingRefBased/>
  <w15:docId w15:val="{2388C0CC-5A0D-438F-8D25-1AB16D5F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97" w:unhideWhenUsed="1"/>
    <w:lsdException w:name="header" w:semiHidden="1" w:unhideWhenUsed="1"/>
    <w:lsdException w:name="footer" w:semiHidden="1" w:unhideWhenUsed="1"/>
    <w:lsdException w:name="index heading" w:semiHidden="1" w:uiPriority="97" w:unhideWhenUsed="1"/>
    <w:lsdException w:name="caption" w:uiPriority="10" w:qFormat="1"/>
    <w:lsdException w:name="table of figures" w:semiHidden="1" w:unhideWhenUsed="1"/>
    <w:lsdException w:name="envelope address" w:semiHidden="1" w:uiPriority="97" w:unhideWhenUsed="1"/>
    <w:lsdException w:name="envelope return" w:semiHidden="1" w:uiPriority="97" w:unhideWhenUsed="1"/>
    <w:lsdException w:name="footnote reference" w:semiHidden="1" w:unhideWhenUsed="1"/>
    <w:lsdException w:name="annotation reference" w:semiHidden="1" w:uiPriority="97" w:unhideWhenUsed="1"/>
    <w:lsdException w:name="line number" w:semiHidden="1" w:uiPriority="97" w:unhideWhenUsed="1"/>
    <w:lsdException w:name="page number" w:semiHidden="1" w:uiPriority="0"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3" w:unhideWhenUsed="1" w:qFormat="1"/>
    <w:lsdException w:name="List Number" w:uiPriority="4" w:qFormat="1"/>
    <w:lsdException w:name="List 2" w:semiHidden="1" w:uiPriority="4" w:unhideWhenUsed="1"/>
    <w:lsdException w:name="List 3" w:semiHidden="1" w:uiPriority="4" w:unhideWhenUsed="1"/>
    <w:lsdException w:name="List 4" w:uiPriority="4"/>
    <w:lsdException w:name="List 5" w:semiHidden="1"/>
    <w:lsdException w:name="List Bullet 2" w:semiHidden="1" w:uiPriority="2" w:unhideWhenUsed="1" w:qFormat="1"/>
    <w:lsdException w:name="List Bullet 3" w:semiHidden="1" w:uiPriority="2" w:unhideWhenUsed="1"/>
    <w:lsdException w:name="List Bullet 4" w:semiHidden="1" w:unhideWhenUsed="1"/>
    <w:lsdException w:name="List Bullet 5" w:semiHidden="1" w:uiPriority="2" w:unhideWhenUsed="1"/>
    <w:lsdException w:name="List Number 2" w:uiPriority="5" w:qFormat="1"/>
    <w:lsdException w:name="List Number 3" w:uiPriority="5" w:qFormat="1"/>
    <w:lsdException w:name="List Number 4" w:semiHidden="1" w:uiPriority="3" w:unhideWhenUsed="1"/>
    <w:lsdException w:name="List Number 5" w:semiHidden="1" w:uiPriority="3" w:unhideWhenUsed="1"/>
    <w:lsdException w:name="Title" w:uiPriority="1"/>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0"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uiPriority="0" w:qFormat="1"/>
    <w:lsdException w:name="Salutation" w:uiPriority="97"/>
    <w:lsdException w:name="Date" w:uiPriority="0"/>
    <w:lsdException w:name="Body Text First Indent" w:uiPriority="97"/>
    <w:lsdException w:name="Body Text First Indent 2" w:semiHidden="1" w:uiPriority="97" w:unhideWhenUsed="1"/>
    <w:lsdException w:name="Note Heading" w:semiHidden="1" w:uiPriority="97" w:unhideWhenUsed="1"/>
    <w:lsdException w:name="Body Text 2" w:semiHidden="1" w:uiPriority="0" w:unhideWhenUsed="1"/>
    <w:lsdException w:name="Body Text 3" w:semiHidden="1" w:uiPriority="0" w:unhideWhenUsed="1"/>
    <w:lsdException w:name="Body Text Indent 2" w:semiHidden="1" w:uiPriority="97" w:unhideWhenUsed="1"/>
    <w:lsdException w:name="Body Text Indent 3" w:semiHidden="1" w:uiPriority="0" w:unhideWhenUsed="1"/>
    <w:lsdException w:name="Block Text" w:semiHidden="1" w:uiPriority="97"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iPriority="98"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6"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0B4"/>
    <w:pPr>
      <w:adjustRightInd w:val="0"/>
      <w:snapToGrid w:val="0"/>
      <w:spacing w:before="120" w:after="120" w:line="280" w:lineRule="atLeast"/>
    </w:pPr>
    <w:rPr>
      <w:rFonts w:eastAsia="SimSun"/>
      <w:lang w:val="en-AU" w:eastAsia="en-GB"/>
    </w:rPr>
  </w:style>
  <w:style w:type="paragraph" w:styleId="Heading1">
    <w:name w:val="heading 1"/>
    <w:basedOn w:val="Normal"/>
    <w:next w:val="Normal"/>
    <w:link w:val="Heading1Char"/>
    <w:uiPriority w:val="2"/>
    <w:qFormat/>
    <w:rsid w:val="00DD0835"/>
    <w:pPr>
      <w:keepNext/>
      <w:spacing w:line="320" w:lineRule="atLeast"/>
      <w:outlineLvl w:val="0"/>
    </w:pPr>
    <w:rPr>
      <w:rFonts w:asciiTheme="majorHAnsi" w:eastAsiaTheme="majorEastAsia" w:hAnsiTheme="majorHAnsi"/>
      <w:iCs/>
      <w:color w:val="889EA6" w:themeColor="accent4"/>
      <w:kern w:val="32"/>
      <w:sz w:val="32"/>
      <w:szCs w:val="32"/>
    </w:rPr>
  </w:style>
  <w:style w:type="paragraph" w:styleId="Heading2">
    <w:name w:val="heading 2"/>
    <w:basedOn w:val="Normal"/>
    <w:next w:val="Normal"/>
    <w:link w:val="Heading2Char"/>
    <w:uiPriority w:val="2"/>
    <w:qFormat/>
    <w:rsid w:val="00DD0835"/>
    <w:pPr>
      <w:keepNext/>
      <w:outlineLvl w:val="1"/>
    </w:pPr>
    <w:rPr>
      <w:rFonts w:asciiTheme="majorHAnsi" w:eastAsiaTheme="majorEastAsia" w:hAnsiTheme="majorHAnsi"/>
      <w:color w:val="D5C8B6" w:themeColor="accent3"/>
      <w:kern w:val="32"/>
      <w:sz w:val="28"/>
      <w:szCs w:val="28"/>
    </w:rPr>
  </w:style>
  <w:style w:type="paragraph" w:styleId="Heading3">
    <w:name w:val="heading 3"/>
    <w:basedOn w:val="Normal"/>
    <w:next w:val="Normal"/>
    <w:link w:val="Heading3Char"/>
    <w:uiPriority w:val="2"/>
    <w:qFormat/>
    <w:rsid w:val="00DD0835"/>
    <w:pPr>
      <w:spacing w:line="240" w:lineRule="atLeast"/>
      <w:outlineLvl w:val="2"/>
    </w:pPr>
    <w:rPr>
      <w:rFonts w:asciiTheme="majorHAnsi" w:hAnsiTheme="majorHAnsi" w:cstheme="minorHAnsi"/>
      <w:color w:val="B8D0EC" w:themeColor="accent5"/>
      <w:sz w:val="24"/>
      <w:szCs w:val="24"/>
    </w:rPr>
  </w:style>
  <w:style w:type="paragraph" w:styleId="Heading4">
    <w:name w:val="heading 4"/>
    <w:next w:val="Normal"/>
    <w:link w:val="Heading4Char"/>
    <w:uiPriority w:val="2"/>
    <w:qFormat/>
    <w:rsid w:val="00DD0835"/>
    <w:pPr>
      <w:adjustRightInd w:val="0"/>
      <w:snapToGrid w:val="0"/>
      <w:spacing w:before="120" w:after="120" w:line="240" w:lineRule="atLeast"/>
      <w:outlineLvl w:val="3"/>
    </w:pPr>
    <w:rPr>
      <w:rFonts w:asciiTheme="majorHAnsi" w:eastAsiaTheme="majorEastAsia" w:hAnsiTheme="majorHAnsi" w:cstheme="minorHAnsi"/>
      <w:bCs/>
      <w:color w:val="203136" w:themeColor="accent1"/>
      <w:lang w:val="en-AU"/>
    </w:rPr>
  </w:style>
  <w:style w:type="paragraph" w:styleId="Heading5">
    <w:name w:val="heading 5"/>
    <w:basedOn w:val="Normal"/>
    <w:next w:val="Normal"/>
    <w:link w:val="Heading5Char"/>
    <w:semiHidden/>
    <w:qFormat/>
    <w:rsid w:val="00DD0835"/>
    <w:pPr>
      <w:keepNext/>
      <w:numPr>
        <w:numId w:val="8"/>
      </w:numPr>
      <w:spacing w:after="660" w:line="480" w:lineRule="exact"/>
      <w:outlineLvl w:val="4"/>
    </w:pPr>
    <w:rPr>
      <w:rFonts w:eastAsiaTheme="majorEastAsia" w:cstheme="majorBidi"/>
      <w:b/>
      <w:bCs/>
      <w:color w:val="FFFFFF" w:themeColor="background2"/>
      <w:sz w:val="44"/>
      <w:lang w:eastAsia="x-none" w:bidi="he-IL"/>
    </w:rPr>
  </w:style>
  <w:style w:type="paragraph" w:styleId="Heading6">
    <w:name w:val="heading 6"/>
    <w:basedOn w:val="Normal"/>
    <w:next w:val="Normal"/>
    <w:link w:val="Heading6Char"/>
    <w:semiHidden/>
    <w:qFormat/>
    <w:rsid w:val="00DD0835"/>
    <w:pPr>
      <w:keepNext/>
      <w:jc w:val="center"/>
      <w:outlineLvl w:val="5"/>
    </w:pPr>
    <w:rPr>
      <w:rFonts w:eastAsiaTheme="majorEastAsia"/>
      <w:color w:val="000080"/>
      <w:sz w:val="52"/>
      <w:lang w:val="en-US"/>
    </w:rPr>
  </w:style>
  <w:style w:type="paragraph" w:styleId="Heading7">
    <w:name w:val="heading 7"/>
    <w:basedOn w:val="Normal"/>
    <w:next w:val="Normal"/>
    <w:link w:val="Heading7Char"/>
    <w:semiHidden/>
    <w:qFormat/>
    <w:rsid w:val="00DD0835"/>
    <w:pPr>
      <w:keepNext/>
      <w:jc w:val="center"/>
      <w:outlineLvl w:val="6"/>
    </w:pPr>
    <w:rPr>
      <w:rFonts w:eastAsiaTheme="majorEastAsia"/>
      <w:b/>
      <w:bCs/>
    </w:rPr>
  </w:style>
  <w:style w:type="paragraph" w:styleId="Heading8">
    <w:name w:val="heading 8"/>
    <w:basedOn w:val="Normal"/>
    <w:next w:val="Normal"/>
    <w:link w:val="Heading8Char"/>
    <w:uiPriority w:val="9"/>
    <w:semiHidden/>
    <w:qFormat/>
    <w:rsid w:val="00DD0835"/>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DD0835"/>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374559"/>
    <w:pPr>
      <w:tabs>
        <w:tab w:val="left" w:pos="9497"/>
      </w:tabs>
      <w:spacing w:line="240" w:lineRule="atLeast"/>
      <w:ind w:left="567" w:hanging="567"/>
    </w:pPr>
    <w:rPr>
      <w:color w:val="000000" w:themeColor="text1"/>
    </w:rPr>
  </w:style>
  <w:style w:type="paragraph" w:styleId="Header">
    <w:name w:val="header"/>
    <w:link w:val="HeaderChar"/>
    <w:uiPriority w:val="99"/>
    <w:rsid w:val="00DD0835"/>
    <w:pPr>
      <w:adjustRightInd w:val="0"/>
      <w:snapToGrid w:val="0"/>
    </w:pPr>
    <w:rPr>
      <w:rFonts w:eastAsiaTheme="minorEastAsia" w:cs="Arial"/>
      <w:sz w:val="16"/>
      <w:szCs w:val="16"/>
      <w:lang w:val="en-AU" w:eastAsia="x-none" w:bidi="he-IL"/>
    </w:rPr>
  </w:style>
  <w:style w:type="paragraph" w:styleId="Footer">
    <w:name w:val="footer"/>
    <w:link w:val="FooterChar"/>
    <w:uiPriority w:val="99"/>
    <w:rsid w:val="00DD0835"/>
    <w:pPr>
      <w:adjustRightInd w:val="0"/>
      <w:snapToGrid w:val="0"/>
    </w:pPr>
    <w:rPr>
      <w:rFonts w:eastAsiaTheme="minorEastAsia" w:cs="Arial"/>
      <w:color w:val="203136" w:themeColor="accent1"/>
      <w:sz w:val="16"/>
      <w:szCs w:val="14"/>
      <w:lang w:val="en-AU" w:eastAsia="x-none" w:bidi="he-IL"/>
    </w:rPr>
  </w:style>
  <w:style w:type="character" w:styleId="PageNumber">
    <w:name w:val="page number"/>
    <w:semiHidden/>
    <w:rsid w:val="00DD0835"/>
    <w:rPr>
      <w:rFonts w:asciiTheme="majorHAnsi" w:hAnsiTheme="majorHAnsi" w:cs="Arial"/>
      <w:color w:val="000000" w:themeColor="text2"/>
      <w:sz w:val="14"/>
    </w:rPr>
  </w:style>
  <w:style w:type="table" w:styleId="TableGrid">
    <w:name w:val="Table Grid"/>
    <w:basedOn w:val="TableNormal"/>
    <w:uiPriority w:val="59"/>
    <w:rsid w:val="00DD0835"/>
    <w:pPr>
      <w:spacing w:line="240" w:lineRule="atLeast"/>
    </w:pPr>
    <w:rPr>
      <w:rFonts w:eastAsia="MS Mincho"/>
      <w:color w:val="000000" w:themeColor="text2"/>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3"/>
    <w:rsid w:val="00DD0835"/>
    <w:pPr>
      <w:numPr>
        <w:numId w:val="9"/>
      </w:numPr>
      <w:contextualSpacing/>
    </w:pPr>
  </w:style>
  <w:style w:type="paragraph" w:customStyle="1" w:styleId="TableText">
    <w:name w:val="Table Text"/>
    <w:basedOn w:val="Normal"/>
    <w:uiPriority w:val="5"/>
    <w:qFormat/>
    <w:rsid w:val="00DD0835"/>
    <w:pPr>
      <w:spacing w:before="0" w:after="0" w:line="240" w:lineRule="atLeast"/>
    </w:pPr>
    <w:rPr>
      <w:sz w:val="18"/>
    </w:rPr>
  </w:style>
  <w:style w:type="paragraph" w:styleId="ListNumber2">
    <w:name w:val="List Number 2"/>
    <w:basedOn w:val="Normal"/>
    <w:uiPriority w:val="5"/>
    <w:qFormat/>
    <w:rsid w:val="00EA534C"/>
    <w:pPr>
      <w:numPr>
        <w:ilvl w:val="1"/>
        <w:numId w:val="11"/>
      </w:numPr>
      <w:contextualSpacing/>
    </w:pPr>
  </w:style>
  <w:style w:type="paragraph" w:customStyle="1" w:styleId="Source">
    <w:name w:val="Source"/>
    <w:uiPriority w:val="99"/>
    <w:semiHidden/>
    <w:qFormat/>
    <w:rsid w:val="00DD0835"/>
    <w:pPr>
      <w:numPr>
        <w:numId w:val="13"/>
      </w:numPr>
      <w:tabs>
        <w:tab w:val="clear" w:pos="567"/>
        <w:tab w:val="num" w:pos="1209"/>
      </w:tabs>
    </w:pPr>
    <w:rPr>
      <w:rFonts w:eastAsia="Times New Roman" w:cstheme="minorHAnsi"/>
      <w:spacing w:val="-3"/>
      <w:sz w:val="16"/>
      <w:szCs w:val="14"/>
      <w:lang w:val="en-AU" w:eastAsia="en-AU"/>
    </w:rPr>
  </w:style>
  <w:style w:type="paragraph" w:styleId="BalloonText">
    <w:name w:val="Balloon Text"/>
    <w:basedOn w:val="Normal"/>
    <w:link w:val="BalloonTextChar"/>
    <w:uiPriority w:val="99"/>
    <w:semiHidden/>
    <w:unhideWhenUsed/>
    <w:rsid w:val="00DD0835"/>
    <w:rPr>
      <w:rFonts w:ascii="Tahoma" w:hAnsi="Tahoma" w:cs="Lucida Grande"/>
      <w:sz w:val="16"/>
      <w:szCs w:val="16"/>
      <w:lang w:val="x-none" w:bidi="he-IL"/>
    </w:rPr>
  </w:style>
  <w:style w:type="character" w:customStyle="1" w:styleId="BalloonTextChar">
    <w:name w:val="Balloon Text Char"/>
    <w:link w:val="BalloonText"/>
    <w:uiPriority w:val="99"/>
    <w:semiHidden/>
    <w:rsid w:val="00DD0835"/>
    <w:rPr>
      <w:rFonts w:ascii="Tahoma" w:hAnsi="Tahoma" w:cs="Lucida Grande"/>
      <w:sz w:val="16"/>
      <w:szCs w:val="16"/>
      <w:lang w:val="x-none" w:bidi="he-IL"/>
    </w:rPr>
  </w:style>
  <w:style w:type="paragraph" w:styleId="Bibliography">
    <w:name w:val="Bibliography"/>
    <w:basedOn w:val="Normal"/>
    <w:next w:val="Normal"/>
    <w:uiPriority w:val="37"/>
    <w:semiHidden/>
    <w:rsid w:val="00DD0835"/>
  </w:style>
  <w:style w:type="paragraph" w:styleId="BlockText">
    <w:name w:val="Block Text"/>
    <w:basedOn w:val="Normal"/>
    <w:uiPriority w:val="99"/>
    <w:semiHidden/>
    <w:unhideWhenUsed/>
    <w:rsid w:val="00DD0835"/>
    <w:pPr>
      <w:pBdr>
        <w:top w:val="single" w:sz="2" w:space="10" w:color="203136" w:themeColor="accent1" w:shadow="1"/>
        <w:left w:val="single" w:sz="2" w:space="10" w:color="203136" w:themeColor="accent1" w:shadow="1"/>
        <w:bottom w:val="single" w:sz="2" w:space="10" w:color="203136" w:themeColor="accent1" w:shadow="1"/>
        <w:right w:val="single" w:sz="2" w:space="10" w:color="203136" w:themeColor="accent1" w:shadow="1"/>
      </w:pBdr>
      <w:ind w:left="1152" w:right="1152"/>
    </w:pPr>
    <w:rPr>
      <w:rFonts w:cstheme="minorBidi"/>
      <w:i/>
      <w:iCs/>
      <w:color w:val="203136" w:themeColor="accent1"/>
    </w:rPr>
  </w:style>
  <w:style w:type="paragraph" w:styleId="BodyText3">
    <w:name w:val="Body Text 3"/>
    <w:basedOn w:val="Normal"/>
    <w:link w:val="BodyText3Char"/>
    <w:semiHidden/>
    <w:rsid w:val="00DD0835"/>
    <w:pPr>
      <w:pBdr>
        <w:top w:val="single" w:sz="6" w:space="1" w:color="auto"/>
        <w:left w:val="single" w:sz="6" w:space="5" w:color="auto"/>
        <w:bottom w:val="single" w:sz="6" w:space="1" w:color="auto"/>
        <w:right w:val="single" w:sz="6" w:space="7" w:color="auto"/>
      </w:pBdr>
    </w:pPr>
  </w:style>
  <w:style w:type="character" w:customStyle="1" w:styleId="BodyText3Char">
    <w:name w:val="Body Text 3 Char"/>
    <w:basedOn w:val="DefaultParagraphFont"/>
    <w:link w:val="BodyText3"/>
    <w:semiHidden/>
    <w:rsid w:val="00DD0835"/>
    <w:rPr>
      <w:lang w:val="en-AU"/>
    </w:rPr>
  </w:style>
  <w:style w:type="paragraph" w:styleId="BodyTextFirstIndent">
    <w:name w:val="Body Text First Indent"/>
    <w:basedOn w:val="Normal"/>
    <w:link w:val="BodyTextFirstIndentChar"/>
    <w:uiPriority w:val="99"/>
    <w:semiHidden/>
    <w:unhideWhenUsed/>
    <w:rsid w:val="00DD0835"/>
    <w:pPr>
      <w:ind w:firstLine="360"/>
    </w:pPr>
    <w:rPr>
      <w:szCs w:val="24"/>
      <w:lang w:eastAsia="x-none" w:bidi="he-IL"/>
    </w:rPr>
  </w:style>
  <w:style w:type="character" w:customStyle="1" w:styleId="BodyTextFirstIndentChar">
    <w:name w:val="Body Text First Indent Char"/>
    <w:basedOn w:val="DefaultParagraphFont"/>
    <w:link w:val="BodyTextFirstIndent"/>
    <w:uiPriority w:val="99"/>
    <w:semiHidden/>
    <w:rsid w:val="00DD0835"/>
    <w:rPr>
      <w:szCs w:val="24"/>
      <w:lang w:val="en-AU" w:eastAsia="x-none" w:bidi="he-IL"/>
    </w:rPr>
  </w:style>
  <w:style w:type="paragraph" w:styleId="BodyTextIndent">
    <w:name w:val="Body Text Indent"/>
    <w:basedOn w:val="Normal"/>
    <w:link w:val="BodyTextIndentChar"/>
    <w:uiPriority w:val="99"/>
    <w:semiHidden/>
    <w:unhideWhenUsed/>
    <w:rsid w:val="00DD0835"/>
    <w:pPr>
      <w:ind w:left="283"/>
    </w:pPr>
  </w:style>
  <w:style w:type="character" w:customStyle="1" w:styleId="BodyTextIndentChar">
    <w:name w:val="Body Text Indent Char"/>
    <w:basedOn w:val="DefaultParagraphFont"/>
    <w:link w:val="BodyTextIndent"/>
    <w:uiPriority w:val="99"/>
    <w:semiHidden/>
    <w:rsid w:val="00DD0835"/>
    <w:rPr>
      <w:lang w:val="en-AU"/>
    </w:rPr>
  </w:style>
  <w:style w:type="paragraph" w:styleId="BodyTextFirstIndent2">
    <w:name w:val="Body Text First Indent 2"/>
    <w:basedOn w:val="BodyTextIndent"/>
    <w:link w:val="BodyTextFirstIndent2Char"/>
    <w:uiPriority w:val="99"/>
    <w:semiHidden/>
    <w:unhideWhenUsed/>
    <w:rsid w:val="00DD0835"/>
    <w:pPr>
      <w:spacing w:after="140"/>
      <w:ind w:left="360" w:firstLine="360"/>
    </w:pPr>
  </w:style>
  <w:style w:type="character" w:customStyle="1" w:styleId="BodyTextFirstIndent2Char">
    <w:name w:val="Body Text First Indent 2 Char"/>
    <w:basedOn w:val="BodyTextIndentChar"/>
    <w:link w:val="BodyTextFirstIndent2"/>
    <w:uiPriority w:val="99"/>
    <w:semiHidden/>
    <w:rsid w:val="00DD0835"/>
    <w:rPr>
      <w:lang w:val="en-AU"/>
    </w:rPr>
  </w:style>
  <w:style w:type="paragraph" w:styleId="BodyTextIndent2">
    <w:name w:val="Body Text Indent 2"/>
    <w:basedOn w:val="Normal"/>
    <w:link w:val="BodyTextIndent2Char"/>
    <w:uiPriority w:val="99"/>
    <w:semiHidden/>
    <w:unhideWhenUsed/>
    <w:rsid w:val="00DD0835"/>
    <w:pPr>
      <w:spacing w:line="480" w:lineRule="auto"/>
      <w:ind w:left="283"/>
    </w:pPr>
  </w:style>
  <w:style w:type="character" w:customStyle="1" w:styleId="BodyTextIndent2Char">
    <w:name w:val="Body Text Indent 2 Char"/>
    <w:basedOn w:val="DefaultParagraphFont"/>
    <w:link w:val="BodyTextIndent2"/>
    <w:uiPriority w:val="99"/>
    <w:semiHidden/>
    <w:rsid w:val="00DD0835"/>
    <w:rPr>
      <w:lang w:val="en-AU"/>
    </w:rPr>
  </w:style>
  <w:style w:type="character" w:styleId="BookTitle">
    <w:name w:val="Book Title"/>
    <w:basedOn w:val="DefaultParagraphFont"/>
    <w:uiPriority w:val="33"/>
    <w:semiHidden/>
    <w:qFormat/>
    <w:rsid w:val="00DD0835"/>
    <w:rPr>
      <w:b/>
      <w:bCs/>
      <w:smallCaps/>
      <w:spacing w:val="5"/>
    </w:rPr>
  </w:style>
  <w:style w:type="paragraph" w:styleId="Closing">
    <w:name w:val="Closing"/>
    <w:basedOn w:val="Normal"/>
    <w:link w:val="ClosingChar"/>
    <w:uiPriority w:val="99"/>
    <w:semiHidden/>
    <w:unhideWhenUsed/>
    <w:rsid w:val="00DD0835"/>
    <w:pPr>
      <w:ind w:left="4252"/>
    </w:pPr>
  </w:style>
  <w:style w:type="character" w:customStyle="1" w:styleId="ClosingChar">
    <w:name w:val="Closing Char"/>
    <w:basedOn w:val="DefaultParagraphFont"/>
    <w:link w:val="Closing"/>
    <w:uiPriority w:val="99"/>
    <w:semiHidden/>
    <w:rsid w:val="00DD0835"/>
    <w:rPr>
      <w:lang w:val="en-AU"/>
    </w:rPr>
  </w:style>
  <w:style w:type="table" w:styleId="ColorfulGrid">
    <w:name w:val="Colorful Grid"/>
    <w:basedOn w:val="TableNormal"/>
    <w:uiPriority w:val="73"/>
    <w:rsid w:val="00DD0835"/>
    <w:pPr>
      <w:spacing w:line="240" w:lineRule="atLeast"/>
    </w:pPr>
    <w:rPr>
      <w:rFonts w:eastAsia="MS Mincho"/>
      <w:color w:val="000000" w:themeColor="text1"/>
      <w:sz w:val="18"/>
      <w:szCs w:val="18"/>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D0835"/>
    <w:pPr>
      <w:spacing w:line="240" w:lineRule="atLeast"/>
    </w:pPr>
    <w:rPr>
      <w:rFonts w:eastAsia="MS Mincho"/>
      <w:color w:val="000000" w:themeColor="text1"/>
      <w:sz w:val="18"/>
      <w:szCs w:val="18"/>
    </w:rPr>
    <w:tblPr>
      <w:tblStyleRowBandSize w:val="1"/>
      <w:tblStyleColBandSize w:val="1"/>
      <w:tblBorders>
        <w:insideH w:val="single" w:sz="4" w:space="0" w:color="FFFFFF" w:themeColor="background1"/>
      </w:tblBorders>
    </w:tblPr>
    <w:tcPr>
      <w:shd w:val="clear" w:color="auto" w:fill="C9DADF" w:themeFill="accent1" w:themeFillTint="33"/>
      <w:tcMar>
        <w:top w:w="57" w:type="dxa"/>
        <w:left w:w="57" w:type="dxa"/>
        <w:bottom w:w="57" w:type="dxa"/>
        <w:right w:w="57" w:type="dxa"/>
      </w:tcMar>
    </w:tcPr>
    <w:tblStylePr w:type="firstRow">
      <w:rPr>
        <w:rFonts w:asciiTheme="majorHAnsi" w:hAnsiTheme="majorHAnsi"/>
        <w:b/>
        <w:bCs/>
      </w:rPr>
      <w:tblPr/>
      <w:tcPr>
        <w:shd w:val="clear" w:color="auto" w:fill="94B6C0" w:themeFill="accent1" w:themeFillTint="66"/>
      </w:tcPr>
    </w:tblStylePr>
    <w:tblStylePr w:type="lastRow">
      <w:rPr>
        <w:b/>
        <w:bCs/>
        <w:color w:val="000000" w:themeColor="text1"/>
      </w:rPr>
      <w:tblPr/>
      <w:tcPr>
        <w:shd w:val="clear" w:color="auto" w:fill="94B6C0" w:themeFill="accent1" w:themeFillTint="66"/>
      </w:tcPr>
    </w:tblStylePr>
    <w:tblStylePr w:type="firstCol">
      <w:rPr>
        <w:color w:val="FFFFFF" w:themeColor="background1"/>
      </w:rPr>
      <w:tblPr/>
      <w:tcPr>
        <w:shd w:val="clear" w:color="auto" w:fill="182428" w:themeFill="accent1" w:themeFillShade="BF"/>
      </w:tcPr>
    </w:tblStylePr>
    <w:tblStylePr w:type="lastCol">
      <w:rPr>
        <w:color w:val="FFFFFF" w:themeColor="background1"/>
      </w:rPr>
      <w:tblPr/>
      <w:tcPr>
        <w:shd w:val="clear" w:color="auto" w:fill="182428" w:themeFill="accent1" w:themeFillShade="BF"/>
      </w:tcPr>
    </w:tblStylePr>
    <w:tblStylePr w:type="band1Vert">
      <w:tblPr/>
      <w:tcPr>
        <w:shd w:val="clear" w:color="auto" w:fill="7AA4B0" w:themeFill="accent1" w:themeFillTint="7F"/>
      </w:tcPr>
    </w:tblStylePr>
    <w:tblStylePr w:type="band1Horz">
      <w:tblPr/>
      <w:tcPr>
        <w:shd w:val="clear" w:color="auto" w:fill="7AA4B0" w:themeFill="accent1" w:themeFillTint="7F"/>
      </w:tcPr>
    </w:tblStylePr>
  </w:style>
  <w:style w:type="table" w:styleId="ColorfulGrid-Accent2">
    <w:name w:val="Colorful Grid Accent 2"/>
    <w:basedOn w:val="TableNormal"/>
    <w:uiPriority w:val="73"/>
    <w:rsid w:val="00DD0835"/>
    <w:pPr>
      <w:spacing w:line="240" w:lineRule="atLeast"/>
    </w:pPr>
    <w:rPr>
      <w:rFonts w:eastAsia="MS Mincho"/>
      <w:color w:val="000000" w:themeColor="text1"/>
      <w:sz w:val="18"/>
      <w:szCs w:val="18"/>
    </w:rPr>
    <w:tblPr>
      <w:tblStyleRowBandSize w:val="1"/>
      <w:tblStyleColBandSize w:val="1"/>
      <w:tblBorders>
        <w:insideH w:val="single" w:sz="4" w:space="0" w:color="FFFFFF" w:themeColor="background1"/>
      </w:tblBorders>
    </w:tblPr>
    <w:tcPr>
      <w:shd w:val="clear" w:color="auto" w:fill="F8FEE2" w:themeFill="accent2" w:themeFillTint="33"/>
      <w:tcMar>
        <w:top w:w="57" w:type="dxa"/>
        <w:left w:w="57" w:type="dxa"/>
        <w:bottom w:w="57" w:type="dxa"/>
        <w:right w:w="57" w:type="dxa"/>
      </w:tcMar>
    </w:tcPr>
    <w:tblStylePr w:type="firstRow">
      <w:rPr>
        <w:rFonts w:asciiTheme="majorHAnsi" w:hAnsiTheme="majorHAnsi"/>
        <w:b/>
        <w:bCs/>
      </w:rPr>
      <w:tblPr/>
      <w:tcPr>
        <w:shd w:val="clear" w:color="auto" w:fill="F1FDC5" w:themeFill="accent2" w:themeFillTint="66"/>
      </w:tcPr>
    </w:tblStylePr>
    <w:tblStylePr w:type="lastRow">
      <w:rPr>
        <w:b/>
        <w:bCs/>
        <w:color w:val="000000" w:themeColor="text1"/>
      </w:rPr>
      <w:tblPr/>
      <w:tcPr>
        <w:shd w:val="clear" w:color="auto" w:fill="F1FDC5" w:themeFill="accent2" w:themeFillTint="66"/>
      </w:tcPr>
    </w:tblStylePr>
    <w:tblStylePr w:type="firstCol">
      <w:rPr>
        <w:color w:val="FFFFFF" w:themeColor="background1"/>
      </w:rPr>
      <w:tblPr/>
      <w:tcPr>
        <w:shd w:val="clear" w:color="auto" w:fill="C7FA16" w:themeFill="accent2" w:themeFillShade="BF"/>
      </w:tcPr>
    </w:tblStylePr>
    <w:tblStylePr w:type="lastCol">
      <w:rPr>
        <w:color w:val="FFFFFF" w:themeColor="background1"/>
      </w:rPr>
      <w:tblPr/>
      <w:tcPr>
        <w:shd w:val="clear" w:color="auto" w:fill="C7FA16" w:themeFill="accent2" w:themeFillShade="BF"/>
      </w:tcPr>
    </w:tblStylePr>
    <w:tblStylePr w:type="band1Vert">
      <w:tblPr/>
      <w:tcPr>
        <w:shd w:val="clear" w:color="auto" w:fill="EDFDB7" w:themeFill="accent2" w:themeFillTint="7F"/>
      </w:tcPr>
    </w:tblStylePr>
    <w:tblStylePr w:type="band1Horz">
      <w:tblPr/>
      <w:tcPr>
        <w:shd w:val="clear" w:color="auto" w:fill="EDFDB7" w:themeFill="accent2" w:themeFillTint="7F"/>
      </w:tcPr>
    </w:tblStylePr>
  </w:style>
  <w:style w:type="table" w:styleId="ColorfulGrid-Accent3">
    <w:name w:val="Colorful Grid Accent 3"/>
    <w:basedOn w:val="TableNormal"/>
    <w:uiPriority w:val="73"/>
    <w:rsid w:val="00DD0835"/>
    <w:pPr>
      <w:spacing w:line="240" w:lineRule="atLeast"/>
    </w:pPr>
    <w:rPr>
      <w:rFonts w:eastAsia="MS Mincho"/>
      <w:color w:val="000000" w:themeColor="text1"/>
      <w:sz w:val="18"/>
      <w:szCs w:val="18"/>
    </w:rPr>
    <w:tblPr>
      <w:tblStyleRowBandSize w:val="1"/>
      <w:tblStyleColBandSize w:val="1"/>
      <w:tblBorders>
        <w:insideH w:val="single" w:sz="4" w:space="0" w:color="FFFFFF" w:themeColor="background1"/>
      </w:tblBorders>
    </w:tblPr>
    <w:tcPr>
      <w:shd w:val="clear" w:color="auto" w:fill="F6F4F0" w:themeFill="accent3" w:themeFillTint="33"/>
      <w:tcMar>
        <w:top w:w="57" w:type="dxa"/>
        <w:left w:w="57" w:type="dxa"/>
        <w:bottom w:w="57" w:type="dxa"/>
        <w:right w:w="57" w:type="dxa"/>
      </w:tcMar>
    </w:tcPr>
    <w:tblStylePr w:type="firstRow">
      <w:rPr>
        <w:rFonts w:asciiTheme="majorHAnsi" w:hAnsiTheme="majorHAnsi"/>
        <w:b/>
        <w:bCs/>
      </w:rPr>
      <w:tblPr/>
      <w:tcPr>
        <w:shd w:val="clear" w:color="auto" w:fill="EEE9E1" w:themeFill="accent3" w:themeFillTint="66"/>
      </w:tcPr>
    </w:tblStylePr>
    <w:tblStylePr w:type="lastRow">
      <w:rPr>
        <w:b/>
        <w:bCs/>
        <w:color w:val="000000" w:themeColor="text1"/>
      </w:rPr>
      <w:tblPr/>
      <w:tcPr>
        <w:shd w:val="clear" w:color="auto" w:fill="EEE9E1" w:themeFill="accent3" w:themeFillTint="66"/>
      </w:tcPr>
    </w:tblStylePr>
    <w:tblStylePr w:type="firstCol">
      <w:rPr>
        <w:color w:val="FFFFFF" w:themeColor="background1"/>
      </w:rPr>
      <w:tblPr/>
      <w:tcPr>
        <w:shd w:val="clear" w:color="auto" w:fill="B09876" w:themeFill="accent3" w:themeFillShade="BF"/>
      </w:tcPr>
    </w:tblStylePr>
    <w:tblStylePr w:type="lastCol">
      <w:rPr>
        <w:color w:val="FFFFFF" w:themeColor="background1"/>
      </w:rPr>
      <w:tblPr/>
      <w:tcPr>
        <w:shd w:val="clear" w:color="auto" w:fill="B09876" w:themeFill="accent3" w:themeFillShade="BF"/>
      </w:tcPr>
    </w:tblStylePr>
    <w:tblStylePr w:type="band1Vert">
      <w:tblPr/>
      <w:tcPr>
        <w:shd w:val="clear" w:color="auto" w:fill="EAE3DA" w:themeFill="accent3" w:themeFillTint="7F"/>
      </w:tcPr>
    </w:tblStylePr>
    <w:tblStylePr w:type="band1Horz">
      <w:tblPr/>
      <w:tcPr>
        <w:shd w:val="clear" w:color="auto" w:fill="EAE3DA" w:themeFill="accent3" w:themeFillTint="7F"/>
      </w:tcPr>
    </w:tblStylePr>
  </w:style>
  <w:style w:type="table" w:styleId="ColorfulGrid-Accent4">
    <w:name w:val="Colorful Grid Accent 4"/>
    <w:basedOn w:val="TableNormal"/>
    <w:uiPriority w:val="73"/>
    <w:rsid w:val="00DD0835"/>
    <w:pPr>
      <w:spacing w:line="240" w:lineRule="atLeast"/>
    </w:pPr>
    <w:rPr>
      <w:rFonts w:eastAsia="MS Mincho"/>
      <w:color w:val="000000" w:themeColor="text1"/>
      <w:sz w:val="18"/>
      <w:szCs w:val="18"/>
    </w:rPr>
    <w:tblPr>
      <w:tblStyleRowBandSize w:val="1"/>
      <w:tblStyleColBandSize w:val="1"/>
      <w:tblBorders>
        <w:insideH w:val="single" w:sz="4" w:space="0" w:color="FFFFFF" w:themeColor="background1"/>
      </w:tblBorders>
    </w:tblPr>
    <w:tcPr>
      <w:shd w:val="clear" w:color="auto" w:fill="E7EBED" w:themeFill="accent4" w:themeFillTint="33"/>
      <w:tcMar>
        <w:top w:w="57" w:type="dxa"/>
        <w:left w:w="57" w:type="dxa"/>
        <w:bottom w:w="57" w:type="dxa"/>
        <w:right w:w="57" w:type="dxa"/>
      </w:tcMar>
    </w:tcPr>
    <w:tblStylePr w:type="firstRow">
      <w:rPr>
        <w:rFonts w:asciiTheme="majorHAnsi" w:hAnsiTheme="majorHAnsi"/>
        <w:b/>
        <w:bCs/>
      </w:rPr>
      <w:tblPr/>
      <w:tcPr>
        <w:shd w:val="clear" w:color="auto" w:fill="CFD8DB" w:themeFill="accent4" w:themeFillTint="66"/>
      </w:tcPr>
    </w:tblStylePr>
    <w:tblStylePr w:type="lastRow">
      <w:rPr>
        <w:b/>
        <w:bCs/>
        <w:color w:val="000000" w:themeColor="text1"/>
      </w:rPr>
      <w:tblPr/>
      <w:tcPr>
        <w:shd w:val="clear" w:color="auto" w:fill="CFD8DB" w:themeFill="accent4" w:themeFillTint="66"/>
      </w:tcPr>
    </w:tblStylePr>
    <w:tblStylePr w:type="firstCol">
      <w:rPr>
        <w:color w:val="FFFFFF" w:themeColor="background1"/>
      </w:rPr>
      <w:tblPr/>
      <w:tcPr>
        <w:shd w:val="clear" w:color="auto" w:fill="607881" w:themeFill="accent4" w:themeFillShade="BF"/>
      </w:tcPr>
    </w:tblStylePr>
    <w:tblStylePr w:type="lastCol">
      <w:rPr>
        <w:color w:val="FFFFFF" w:themeColor="background1"/>
      </w:rPr>
      <w:tblPr/>
      <w:tcPr>
        <w:shd w:val="clear" w:color="auto" w:fill="607881" w:themeFill="accent4" w:themeFillShade="BF"/>
      </w:tcPr>
    </w:tblStylePr>
    <w:tblStylePr w:type="band1Vert">
      <w:tblPr/>
      <w:tcPr>
        <w:shd w:val="clear" w:color="auto" w:fill="C3CED2" w:themeFill="accent4" w:themeFillTint="7F"/>
      </w:tcPr>
    </w:tblStylePr>
    <w:tblStylePr w:type="band1Horz">
      <w:tblPr/>
      <w:tcPr>
        <w:shd w:val="clear" w:color="auto" w:fill="C3CED2" w:themeFill="accent4" w:themeFillTint="7F"/>
      </w:tcPr>
    </w:tblStylePr>
  </w:style>
  <w:style w:type="table" w:styleId="ColorfulGrid-Accent5">
    <w:name w:val="Colorful Grid Accent 5"/>
    <w:basedOn w:val="TableNormal"/>
    <w:uiPriority w:val="73"/>
    <w:rsid w:val="00DD0835"/>
    <w:pPr>
      <w:spacing w:line="240" w:lineRule="atLeast"/>
    </w:pPr>
    <w:rPr>
      <w:rFonts w:eastAsia="MS Mincho"/>
      <w:color w:val="000000" w:themeColor="text1"/>
      <w:sz w:val="18"/>
      <w:szCs w:val="18"/>
    </w:rPr>
    <w:tblPr>
      <w:tblStyleRowBandSize w:val="1"/>
      <w:tblStyleColBandSize w:val="1"/>
      <w:tblBorders>
        <w:insideH w:val="single" w:sz="4" w:space="0" w:color="FFFFFF" w:themeColor="background1"/>
      </w:tblBorders>
    </w:tblPr>
    <w:tcPr>
      <w:shd w:val="clear" w:color="auto" w:fill="F0F5FB" w:themeFill="accent5" w:themeFillTint="33"/>
      <w:tcMar>
        <w:top w:w="57" w:type="dxa"/>
        <w:left w:w="57" w:type="dxa"/>
        <w:bottom w:w="57" w:type="dxa"/>
        <w:right w:w="57" w:type="dxa"/>
      </w:tcMar>
    </w:tcPr>
    <w:tblStylePr w:type="firstRow">
      <w:rPr>
        <w:rFonts w:asciiTheme="majorHAnsi" w:hAnsiTheme="majorHAnsi"/>
        <w:b/>
        <w:bCs/>
      </w:rPr>
      <w:tblPr/>
      <w:tcPr>
        <w:shd w:val="clear" w:color="auto" w:fill="E2ECF7" w:themeFill="accent5" w:themeFillTint="66"/>
      </w:tcPr>
    </w:tblStylePr>
    <w:tblStylePr w:type="lastRow">
      <w:rPr>
        <w:b/>
        <w:bCs/>
        <w:color w:val="000000" w:themeColor="text1"/>
      </w:rPr>
      <w:tblPr/>
      <w:tcPr>
        <w:shd w:val="clear" w:color="auto" w:fill="E2ECF7" w:themeFill="accent5" w:themeFillTint="66"/>
      </w:tcPr>
    </w:tblStylePr>
    <w:tblStylePr w:type="firstCol">
      <w:rPr>
        <w:color w:val="FFFFFF" w:themeColor="background1"/>
      </w:rPr>
      <w:tblPr/>
      <w:tcPr>
        <w:shd w:val="clear" w:color="auto" w:fill="6498D5" w:themeFill="accent5" w:themeFillShade="BF"/>
      </w:tcPr>
    </w:tblStylePr>
    <w:tblStylePr w:type="lastCol">
      <w:rPr>
        <w:color w:val="FFFFFF" w:themeColor="background1"/>
      </w:rPr>
      <w:tblPr/>
      <w:tcPr>
        <w:shd w:val="clear" w:color="auto" w:fill="6498D5" w:themeFill="accent5" w:themeFillShade="BF"/>
      </w:tcPr>
    </w:tblStylePr>
    <w:tblStylePr w:type="band1Vert">
      <w:tblPr/>
      <w:tcPr>
        <w:shd w:val="clear" w:color="auto" w:fill="DBE7F5" w:themeFill="accent5" w:themeFillTint="7F"/>
      </w:tcPr>
    </w:tblStylePr>
    <w:tblStylePr w:type="band1Horz">
      <w:tblPr/>
      <w:tcPr>
        <w:shd w:val="clear" w:color="auto" w:fill="DBE7F5" w:themeFill="accent5" w:themeFillTint="7F"/>
      </w:tcPr>
    </w:tblStylePr>
  </w:style>
  <w:style w:type="table" w:styleId="ColorfulGrid-Accent6">
    <w:name w:val="Colorful Grid Accent 6"/>
    <w:basedOn w:val="TableNormal"/>
    <w:uiPriority w:val="73"/>
    <w:rsid w:val="00DD0835"/>
    <w:pPr>
      <w:spacing w:line="240" w:lineRule="atLeast"/>
    </w:pPr>
    <w:rPr>
      <w:rFonts w:eastAsia="MS Mincho"/>
      <w:color w:val="000000" w:themeColor="text1"/>
      <w:sz w:val="18"/>
      <w:szCs w:val="18"/>
    </w:rPr>
    <w:tblPr>
      <w:tblStyleRowBandSize w:val="1"/>
      <w:tblStyleColBandSize w:val="1"/>
      <w:tblBorders>
        <w:insideH w:val="single" w:sz="4" w:space="0" w:color="FFFFFF" w:themeColor="background1"/>
      </w:tblBorders>
    </w:tblPr>
    <w:tcPr>
      <w:shd w:val="clear" w:color="auto" w:fill="F3FBEA" w:themeFill="accent6" w:themeFillTint="33"/>
      <w:tcMar>
        <w:top w:w="57" w:type="dxa"/>
        <w:left w:w="57" w:type="dxa"/>
        <w:bottom w:w="57" w:type="dxa"/>
        <w:right w:w="57" w:type="dxa"/>
      </w:tcMar>
    </w:tcPr>
    <w:tblStylePr w:type="firstRow">
      <w:rPr>
        <w:rFonts w:asciiTheme="majorHAnsi" w:hAnsiTheme="majorHAnsi"/>
        <w:b/>
        <w:bCs/>
      </w:rPr>
      <w:tblPr/>
      <w:tcPr>
        <w:shd w:val="clear" w:color="auto" w:fill="E7F7D6" w:themeFill="accent6" w:themeFillTint="66"/>
      </w:tcPr>
    </w:tblStylePr>
    <w:tblStylePr w:type="lastRow">
      <w:rPr>
        <w:b/>
        <w:bCs/>
        <w:color w:val="000000" w:themeColor="text1"/>
      </w:rPr>
      <w:tblPr/>
      <w:tcPr>
        <w:shd w:val="clear" w:color="auto" w:fill="E7F7D6" w:themeFill="accent6" w:themeFillTint="66"/>
      </w:tcPr>
    </w:tblStylePr>
    <w:tblStylePr w:type="firstCol">
      <w:rPr>
        <w:color w:val="FFFFFF" w:themeColor="background1"/>
      </w:rPr>
      <w:tblPr/>
      <w:tcPr>
        <w:shd w:val="clear" w:color="auto" w:fill="93DC47" w:themeFill="accent6" w:themeFillShade="BF"/>
      </w:tcPr>
    </w:tblStylePr>
    <w:tblStylePr w:type="lastCol">
      <w:rPr>
        <w:color w:val="FFFFFF" w:themeColor="background1"/>
      </w:rPr>
      <w:tblPr/>
      <w:tcPr>
        <w:shd w:val="clear" w:color="auto" w:fill="93DC47" w:themeFill="accent6" w:themeFillShade="BF"/>
      </w:tcPr>
    </w:tblStylePr>
    <w:tblStylePr w:type="band1Vert">
      <w:tblPr/>
      <w:tcPr>
        <w:shd w:val="clear" w:color="auto" w:fill="E1F5CC" w:themeFill="accent6" w:themeFillTint="7F"/>
      </w:tcPr>
    </w:tblStylePr>
    <w:tblStylePr w:type="band1Horz">
      <w:tblPr/>
      <w:tcPr>
        <w:shd w:val="clear" w:color="auto" w:fill="E1F5CC" w:themeFill="accent6" w:themeFillTint="7F"/>
      </w:tcPr>
    </w:tblStylePr>
  </w:style>
  <w:style w:type="table" w:styleId="ColorfulList">
    <w:name w:val="Colorful List"/>
    <w:basedOn w:val="TableNormal"/>
    <w:uiPriority w:val="72"/>
    <w:rsid w:val="00DD0835"/>
    <w:pPr>
      <w:spacing w:line="240" w:lineRule="atLeast"/>
    </w:pPr>
    <w:rPr>
      <w:rFonts w:eastAsia="MS Mincho"/>
      <w:color w:val="000000" w:themeColor="text1"/>
      <w:sz w:val="18"/>
      <w:szCs w:val="18"/>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CBFA28" w:themeFill="accent2" w:themeFillShade="CC"/>
      </w:tcPr>
    </w:tblStylePr>
    <w:tblStylePr w:type="lastRow">
      <w:rPr>
        <w:b/>
        <w:bCs/>
        <w:color w:val="CBFA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D0835"/>
    <w:pPr>
      <w:spacing w:line="240" w:lineRule="atLeast"/>
    </w:pPr>
    <w:rPr>
      <w:rFonts w:eastAsia="MS Mincho"/>
      <w:color w:val="000000" w:themeColor="text1"/>
      <w:sz w:val="18"/>
      <w:szCs w:val="18"/>
    </w:rPr>
    <w:tblPr>
      <w:tblStyleRowBandSize w:val="1"/>
      <w:tblStyleColBandSize w:val="1"/>
    </w:tblPr>
    <w:tcPr>
      <w:shd w:val="clear" w:color="auto" w:fill="E4EDEF"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CBFA28" w:themeFill="accent2" w:themeFillShade="CC"/>
      </w:tcPr>
    </w:tblStylePr>
    <w:tblStylePr w:type="lastRow">
      <w:rPr>
        <w:b/>
        <w:bCs/>
        <w:color w:val="CBFA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D1D8" w:themeFill="accent1" w:themeFillTint="3F"/>
      </w:tcPr>
    </w:tblStylePr>
    <w:tblStylePr w:type="band1Horz">
      <w:tblPr/>
      <w:tcPr>
        <w:shd w:val="clear" w:color="auto" w:fill="C9DADF" w:themeFill="accent1" w:themeFillTint="33"/>
      </w:tcPr>
    </w:tblStylePr>
  </w:style>
  <w:style w:type="table" w:styleId="ColorfulList-Accent2">
    <w:name w:val="Colorful List Accent 2"/>
    <w:basedOn w:val="TableNormal"/>
    <w:uiPriority w:val="72"/>
    <w:rsid w:val="00DD0835"/>
    <w:pPr>
      <w:spacing w:line="240" w:lineRule="atLeast"/>
    </w:pPr>
    <w:rPr>
      <w:rFonts w:eastAsia="MS Mincho"/>
      <w:color w:val="000000" w:themeColor="text1"/>
      <w:sz w:val="18"/>
      <w:szCs w:val="18"/>
    </w:rPr>
    <w:tblPr>
      <w:tblStyleRowBandSize w:val="1"/>
      <w:tblStyleColBandSize w:val="1"/>
    </w:tblPr>
    <w:tcPr>
      <w:shd w:val="clear" w:color="auto" w:fill="FBFEF0"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CBFA28" w:themeFill="accent2" w:themeFillShade="CC"/>
      </w:tcPr>
    </w:tblStylePr>
    <w:tblStylePr w:type="lastRow">
      <w:rPr>
        <w:b/>
        <w:bCs/>
        <w:color w:val="CBFA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EDB" w:themeFill="accent2" w:themeFillTint="3F"/>
      </w:tcPr>
    </w:tblStylePr>
    <w:tblStylePr w:type="band1Horz">
      <w:tblPr/>
      <w:tcPr>
        <w:shd w:val="clear" w:color="auto" w:fill="F8FEE2" w:themeFill="accent2" w:themeFillTint="33"/>
      </w:tcPr>
    </w:tblStylePr>
  </w:style>
  <w:style w:type="table" w:styleId="ColorfulList-Accent3">
    <w:name w:val="Colorful List Accent 3"/>
    <w:basedOn w:val="TableNormal"/>
    <w:uiPriority w:val="72"/>
    <w:rsid w:val="00DD0835"/>
    <w:pPr>
      <w:spacing w:line="240" w:lineRule="atLeast"/>
    </w:pPr>
    <w:rPr>
      <w:rFonts w:eastAsia="MS Mincho"/>
      <w:color w:val="000000" w:themeColor="text1"/>
      <w:sz w:val="18"/>
      <w:szCs w:val="18"/>
    </w:rPr>
    <w:tblPr>
      <w:tblStyleRowBandSize w:val="1"/>
      <w:tblStyleColBandSize w:val="1"/>
    </w:tblPr>
    <w:tcPr>
      <w:shd w:val="clear" w:color="auto" w:fill="FBF9F7"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67808A" w:themeFill="accent4" w:themeFillShade="CC"/>
      </w:tcPr>
    </w:tblStylePr>
    <w:tblStylePr w:type="lastRow">
      <w:rPr>
        <w:b/>
        <w:bCs/>
        <w:color w:val="67808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1EC" w:themeFill="accent3" w:themeFillTint="3F"/>
      </w:tcPr>
    </w:tblStylePr>
    <w:tblStylePr w:type="band1Horz">
      <w:tblPr/>
      <w:tcPr>
        <w:shd w:val="clear" w:color="auto" w:fill="F6F4F0" w:themeFill="accent3" w:themeFillTint="33"/>
      </w:tcPr>
    </w:tblStylePr>
  </w:style>
  <w:style w:type="table" w:styleId="ColorfulList-Accent4">
    <w:name w:val="Colorful List Accent 4"/>
    <w:basedOn w:val="TableNormal"/>
    <w:uiPriority w:val="72"/>
    <w:rsid w:val="00DD0835"/>
    <w:pPr>
      <w:spacing w:line="240" w:lineRule="atLeast"/>
    </w:pPr>
    <w:rPr>
      <w:rFonts w:eastAsia="MS Mincho"/>
      <w:color w:val="000000" w:themeColor="text1"/>
      <w:sz w:val="18"/>
      <w:szCs w:val="18"/>
    </w:rPr>
    <w:tblPr>
      <w:tblStyleRowBandSize w:val="1"/>
      <w:tblStyleColBandSize w:val="1"/>
    </w:tblPr>
    <w:tcPr>
      <w:shd w:val="clear" w:color="auto" w:fill="F3F5F6"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8A283" w:themeFill="accent3" w:themeFillShade="CC"/>
      </w:tcPr>
    </w:tblStylePr>
    <w:tblStylePr w:type="lastRow">
      <w:rPr>
        <w:b/>
        <w:bCs/>
        <w:color w:val="B8A2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6E9" w:themeFill="accent4" w:themeFillTint="3F"/>
      </w:tcPr>
    </w:tblStylePr>
    <w:tblStylePr w:type="band1Horz">
      <w:tblPr/>
      <w:tcPr>
        <w:shd w:val="clear" w:color="auto" w:fill="E7EBED" w:themeFill="accent4" w:themeFillTint="33"/>
      </w:tcPr>
    </w:tblStylePr>
  </w:style>
  <w:style w:type="table" w:styleId="ColorfulList-Accent5">
    <w:name w:val="Colorful List Accent 5"/>
    <w:basedOn w:val="TableNormal"/>
    <w:uiPriority w:val="72"/>
    <w:rsid w:val="00DD0835"/>
    <w:pPr>
      <w:spacing w:line="240" w:lineRule="atLeast"/>
    </w:pPr>
    <w:rPr>
      <w:rFonts w:eastAsia="MS Mincho"/>
      <w:color w:val="000000" w:themeColor="text1"/>
      <w:sz w:val="18"/>
      <w:szCs w:val="18"/>
    </w:rPr>
    <w:tblPr>
      <w:tblStyleRowBandSize w:val="1"/>
      <w:tblStyleColBandSize w:val="1"/>
    </w:tblPr>
    <w:tcPr>
      <w:shd w:val="clear" w:color="auto" w:fill="F7FAFD"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9DDF58" w:themeFill="accent6" w:themeFillShade="CC"/>
      </w:tcPr>
    </w:tblStylePr>
    <w:tblStylePr w:type="lastRow">
      <w:rPr>
        <w:b/>
        <w:bCs/>
        <w:color w:val="9DD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3FA" w:themeFill="accent5" w:themeFillTint="3F"/>
      </w:tcPr>
    </w:tblStylePr>
    <w:tblStylePr w:type="band1Horz">
      <w:tblPr/>
      <w:tcPr>
        <w:shd w:val="clear" w:color="auto" w:fill="F0F5FB" w:themeFill="accent5" w:themeFillTint="33"/>
      </w:tcPr>
    </w:tblStylePr>
  </w:style>
  <w:style w:type="table" w:styleId="ColorfulList-Accent6">
    <w:name w:val="Colorful List Accent 6"/>
    <w:basedOn w:val="TableNormal"/>
    <w:uiPriority w:val="72"/>
    <w:rsid w:val="00DD0835"/>
    <w:pPr>
      <w:spacing w:line="240" w:lineRule="atLeast"/>
    </w:pPr>
    <w:rPr>
      <w:rFonts w:eastAsia="MS Mincho"/>
      <w:color w:val="000000" w:themeColor="text1"/>
      <w:sz w:val="18"/>
      <w:szCs w:val="18"/>
    </w:rPr>
    <w:tblPr>
      <w:tblStyleRowBandSize w:val="1"/>
      <w:tblStyleColBandSize w:val="1"/>
    </w:tblPr>
    <w:tcPr>
      <w:shd w:val="clear" w:color="auto" w:fill="F9FDF4"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75A3DA" w:themeFill="accent5" w:themeFillShade="CC"/>
      </w:tcPr>
    </w:tblStylePr>
    <w:tblStylePr w:type="lastRow">
      <w:rPr>
        <w:b/>
        <w:bCs/>
        <w:color w:val="75A3D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AE6" w:themeFill="accent6" w:themeFillTint="3F"/>
      </w:tcPr>
    </w:tblStylePr>
    <w:tblStylePr w:type="band1Horz">
      <w:tblPr/>
      <w:tcPr>
        <w:shd w:val="clear" w:color="auto" w:fill="F3FBEA" w:themeFill="accent6" w:themeFillTint="33"/>
      </w:tcPr>
    </w:tblStylePr>
  </w:style>
  <w:style w:type="table" w:styleId="ColorfulShading">
    <w:name w:val="Colorful Shading"/>
    <w:basedOn w:val="TableNormal"/>
    <w:uiPriority w:val="71"/>
    <w:rsid w:val="00DD0835"/>
    <w:pPr>
      <w:spacing w:line="240" w:lineRule="atLeast"/>
    </w:pPr>
    <w:rPr>
      <w:rFonts w:eastAsia="MS Mincho"/>
      <w:color w:val="000000" w:themeColor="text1"/>
      <w:sz w:val="18"/>
      <w:szCs w:val="18"/>
    </w:rPr>
    <w:tblPr>
      <w:tblStyleRowBandSize w:val="1"/>
      <w:tblStyleColBandSize w:val="1"/>
      <w:tblBorders>
        <w:top w:val="single" w:sz="24" w:space="0" w:color="DDFC7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DFC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D0835"/>
    <w:pPr>
      <w:spacing w:line="240" w:lineRule="atLeast"/>
    </w:pPr>
    <w:rPr>
      <w:rFonts w:eastAsia="MS Mincho"/>
      <w:color w:val="000000" w:themeColor="text1"/>
      <w:sz w:val="18"/>
      <w:szCs w:val="18"/>
    </w:rPr>
    <w:tblPr>
      <w:tblStyleRowBandSize w:val="1"/>
      <w:tblStyleColBandSize w:val="1"/>
      <w:tblBorders>
        <w:top w:val="single" w:sz="24" w:space="0" w:color="DDFC70" w:themeColor="accent2"/>
        <w:left w:val="single" w:sz="4" w:space="0" w:color="203136" w:themeColor="accent1"/>
        <w:bottom w:val="single" w:sz="4" w:space="0" w:color="203136" w:themeColor="accent1"/>
        <w:right w:val="single" w:sz="4" w:space="0" w:color="203136" w:themeColor="accent1"/>
        <w:insideH w:val="single" w:sz="4" w:space="0" w:color="FFFFFF" w:themeColor="background1"/>
        <w:insideV w:val="single" w:sz="4" w:space="0" w:color="FFFFFF" w:themeColor="background1"/>
      </w:tblBorders>
    </w:tblPr>
    <w:tcPr>
      <w:shd w:val="clear" w:color="auto" w:fill="E4EDEF"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DFC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1D20" w:themeFill="accent1" w:themeFillShade="99"/>
      </w:tcPr>
    </w:tblStylePr>
    <w:tblStylePr w:type="firstCol">
      <w:rPr>
        <w:color w:val="FFFFFF" w:themeColor="background1"/>
      </w:rPr>
      <w:tblPr/>
      <w:tcPr>
        <w:tcBorders>
          <w:top w:val="nil"/>
          <w:left w:val="nil"/>
          <w:bottom w:val="nil"/>
          <w:right w:val="nil"/>
          <w:insideH w:val="single" w:sz="4" w:space="0" w:color="131D20" w:themeColor="accent1" w:themeShade="99"/>
          <w:insideV w:val="nil"/>
        </w:tcBorders>
        <w:shd w:val="clear" w:color="auto" w:fill="131D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1D20" w:themeFill="accent1" w:themeFillShade="99"/>
      </w:tcPr>
    </w:tblStylePr>
    <w:tblStylePr w:type="band1Vert">
      <w:tblPr/>
      <w:tcPr>
        <w:shd w:val="clear" w:color="auto" w:fill="94B6C0" w:themeFill="accent1" w:themeFillTint="66"/>
      </w:tcPr>
    </w:tblStylePr>
    <w:tblStylePr w:type="band1Horz">
      <w:tblPr/>
      <w:tcPr>
        <w:shd w:val="clear" w:color="auto" w:fill="7AA4B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DD0835"/>
    <w:pPr>
      <w:spacing w:line="240" w:lineRule="atLeast"/>
    </w:pPr>
    <w:rPr>
      <w:rFonts w:eastAsia="MS Mincho"/>
      <w:color w:val="000000" w:themeColor="text1"/>
      <w:sz w:val="18"/>
      <w:szCs w:val="18"/>
    </w:rPr>
    <w:tblPr>
      <w:tblStyleRowBandSize w:val="1"/>
      <w:tblStyleColBandSize w:val="1"/>
      <w:tblBorders>
        <w:top w:val="single" w:sz="24" w:space="0" w:color="DDFC70" w:themeColor="accent2"/>
        <w:left w:val="single" w:sz="4" w:space="0" w:color="DDFC70" w:themeColor="accent2"/>
        <w:bottom w:val="single" w:sz="4" w:space="0" w:color="DDFC70" w:themeColor="accent2"/>
        <w:right w:val="single" w:sz="4" w:space="0" w:color="DDFC70" w:themeColor="accent2"/>
        <w:insideH w:val="single" w:sz="4" w:space="0" w:color="FFFFFF" w:themeColor="background1"/>
        <w:insideV w:val="single" w:sz="4" w:space="0" w:color="FFFFFF" w:themeColor="background1"/>
      </w:tblBorders>
    </w:tblPr>
    <w:tcPr>
      <w:shd w:val="clear" w:color="auto" w:fill="FBFEF0"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DFC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D504" w:themeFill="accent2" w:themeFillShade="99"/>
      </w:tcPr>
    </w:tblStylePr>
    <w:tblStylePr w:type="firstCol">
      <w:rPr>
        <w:color w:val="FFFFFF" w:themeColor="background1"/>
      </w:rPr>
      <w:tblPr/>
      <w:tcPr>
        <w:tcBorders>
          <w:top w:val="nil"/>
          <w:left w:val="nil"/>
          <w:bottom w:val="nil"/>
          <w:right w:val="nil"/>
          <w:insideH w:val="single" w:sz="4" w:space="0" w:color="A7D504" w:themeColor="accent2" w:themeShade="99"/>
          <w:insideV w:val="nil"/>
        </w:tcBorders>
        <w:shd w:val="clear" w:color="auto" w:fill="A7D50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7D504" w:themeFill="accent2" w:themeFillShade="99"/>
      </w:tcPr>
    </w:tblStylePr>
    <w:tblStylePr w:type="band1Vert">
      <w:tblPr/>
      <w:tcPr>
        <w:shd w:val="clear" w:color="auto" w:fill="F1FDC5" w:themeFill="accent2" w:themeFillTint="66"/>
      </w:tcPr>
    </w:tblStylePr>
    <w:tblStylePr w:type="band1Horz">
      <w:tblPr/>
      <w:tcPr>
        <w:shd w:val="clear" w:color="auto" w:fill="EDFDB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D0835"/>
    <w:pPr>
      <w:spacing w:line="240" w:lineRule="atLeast"/>
    </w:pPr>
    <w:rPr>
      <w:rFonts w:eastAsia="MS Mincho"/>
      <w:color w:val="000000" w:themeColor="text1"/>
      <w:sz w:val="18"/>
      <w:szCs w:val="18"/>
    </w:rPr>
    <w:tblPr>
      <w:tblStyleRowBandSize w:val="1"/>
      <w:tblStyleColBandSize w:val="1"/>
      <w:tblBorders>
        <w:top w:val="single" w:sz="24" w:space="0" w:color="889EA6" w:themeColor="accent4"/>
        <w:left w:val="single" w:sz="4" w:space="0" w:color="D5C8B6" w:themeColor="accent3"/>
        <w:bottom w:val="single" w:sz="4" w:space="0" w:color="D5C8B6" w:themeColor="accent3"/>
        <w:right w:val="single" w:sz="4" w:space="0" w:color="D5C8B6" w:themeColor="accent3"/>
        <w:insideH w:val="single" w:sz="4" w:space="0" w:color="FFFFFF" w:themeColor="background1"/>
        <w:insideV w:val="single" w:sz="4" w:space="0" w:color="FFFFFF" w:themeColor="background1"/>
      </w:tblBorders>
    </w:tblPr>
    <w:tcPr>
      <w:shd w:val="clear" w:color="auto" w:fill="FBF9F7"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889E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67B56" w:themeFill="accent3" w:themeFillShade="99"/>
      </w:tcPr>
    </w:tblStylePr>
    <w:tblStylePr w:type="firstCol">
      <w:rPr>
        <w:color w:val="FFFFFF" w:themeColor="background1"/>
      </w:rPr>
      <w:tblPr/>
      <w:tcPr>
        <w:tcBorders>
          <w:top w:val="nil"/>
          <w:left w:val="nil"/>
          <w:bottom w:val="nil"/>
          <w:right w:val="nil"/>
          <w:insideH w:val="single" w:sz="4" w:space="0" w:color="967B56" w:themeColor="accent3" w:themeShade="99"/>
          <w:insideV w:val="nil"/>
        </w:tcBorders>
        <w:shd w:val="clear" w:color="auto" w:fill="967B5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67B56" w:themeFill="accent3" w:themeFillShade="99"/>
      </w:tcPr>
    </w:tblStylePr>
    <w:tblStylePr w:type="band1Vert">
      <w:tblPr/>
      <w:tcPr>
        <w:shd w:val="clear" w:color="auto" w:fill="EEE9E1" w:themeFill="accent3" w:themeFillTint="66"/>
      </w:tcPr>
    </w:tblStylePr>
    <w:tblStylePr w:type="band1Horz">
      <w:tblPr/>
      <w:tcPr>
        <w:shd w:val="clear" w:color="auto" w:fill="EAE3DA" w:themeFill="accent3" w:themeFillTint="7F"/>
      </w:tcPr>
    </w:tblStylePr>
  </w:style>
  <w:style w:type="table" w:styleId="ColorfulShading-Accent4">
    <w:name w:val="Colorful Shading Accent 4"/>
    <w:basedOn w:val="TableNormal"/>
    <w:uiPriority w:val="71"/>
    <w:rsid w:val="00DD0835"/>
    <w:pPr>
      <w:spacing w:line="240" w:lineRule="atLeast"/>
    </w:pPr>
    <w:rPr>
      <w:rFonts w:eastAsia="MS Mincho"/>
      <w:color w:val="000000" w:themeColor="text1"/>
      <w:sz w:val="18"/>
      <w:szCs w:val="18"/>
    </w:rPr>
    <w:tblPr>
      <w:tblStyleRowBandSize w:val="1"/>
      <w:tblStyleColBandSize w:val="1"/>
      <w:tblBorders>
        <w:top w:val="single" w:sz="24" w:space="0" w:color="D5C8B6" w:themeColor="accent3"/>
        <w:left w:val="single" w:sz="4" w:space="0" w:color="889EA6" w:themeColor="accent4"/>
        <w:bottom w:val="single" w:sz="4" w:space="0" w:color="889EA6" w:themeColor="accent4"/>
        <w:right w:val="single" w:sz="4" w:space="0" w:color="889EA6" w:themeColor="accent4"/>
        <w:insideH w:val="single" w:sz="4" w:space="0" w:color="FFFFFF" w:themeColor="background1"/>
        <w:insideV w:val="single" w:sz="4" w:space="0" w:color="FFFFFF" w:themeColor="background1"/>
      </w:tblBorders>
    </w:tblPr>
    <w:tcPr>
      <w:shd w:val="clear" w:color="auto" w:fill="F3F5F6"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5C8B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6067" w:themeFill="accent4" w:themeFillShade="99"/>
      </w:tcPr>
    </w:tblStylePr>
    <w:tblStylePr w:type="firstCol">
      <w:rPr>
        <w:color w:val="FFFFFF" w:themeColor="background1"/>
      </w:rPr>
      <w:tblPr/>
      <w:tcPr>
        <w:tcBorders>
          <w:top w:val="nil"/>
          <w:left w:val="nil"/>
          <w:bottom w:val="nil"/>
          <w:right w:val="nil"/>
          <w:insideH w:val="single" w:sz="4" w:space="0" w:color="4D6067" w:themeColor="accent4" w:themeShade="99"/>
          <w:insideV w:val="nil"/>
        </w:tcBorders>
        <w:shd w:val="clear" w:color="auto" w:fill="4D606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D6067" w:themeFill="accent4" w:themeFillShade="99"/>
      </w:tcPr>
    </w:tblStylePr>
    <w:tblStylePr w:type="band1Vert">
      <w:tblPr/>
      <w:tcPr>
        <w:shd w:val="clear" w:color="auto" w:fill="CFD8DB" w:themeFill="accent4" w:themeFillTint="66"/>
      </w:tcPr>
    </w:tblStylePr>
    <w:tblStylePr w:type="band1Horz">
      <w:tblPr/>
      <w:tcPr>
        <w:shd w:val="clear" w:color="auto" w:fill="C3CE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DD0835"/>
    <w:pPr>
      <w:spacing w:line="240" w:lineRule="atLeast"/>
    </w:pPr>
    <w:rPr>
      <w:rFonts w:eastAsia="MS Mincho"/>
      <w:color w:val="000000" w:themeColor="text1"/>
      <w:sz w:val="18"/>
      <w:szCs w:val="18"/>
    </w:rPr>
    <w:tblPr>
      <w:tblStyleRowBandSize w:val="1"/>
      <w:tblStyleColBandSize w:val="1"/>
      <w:tblBorders>
        <w:top w:val="single" w:sz="24" w:space="0" w:color="C4EC9A" w:themeColor="accent6"/>
        <w:left w:val="single" w:sz="4" w:space="0" w:color="B8D0EC" w:themeColor="accent5"/>
        <w:bottom w:val="single" w:sz="4" w:space="0" w:color="B8D0EC" w:themeColor="accent5"/>
        <w:right w:val="single" w:sz="4" w:space="0" w:color="B8D0EC" w:themeColor="accent5"/>
        <w:insideH w:val="single" w:sz="4" w:space="0" w:color="FFFFFF" w:themeColor="background1"/>
        <w:insideV w:val="single" w:sz="4" w:space="0" w:color="FFFFFF" w:themeColor="background1"/>
      </w:tblBorders>
    </w:tblPr>
    <w:tcPr>
      <w:shd w:val="clear" w:color="auto" w:fill="F7FAFD"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C4EC9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78C6" w:themeFill="accent5" w:themeFillShade="99"/>
      </w:tcPr>
    </w:tblStylePr>
    <w:tblStylePr w:type="firstCol">
      <w:rPr>
        <w:color w:val="FFFFFF" w:themeColor="background1"/>
      </w:rPr>
      <w:tblPr/>
      <w:tcPr>
        <w:tcBorders>
          <w:top w:val="nil"/>
          <w:left w:val="nil"/>
          <w:bottom w:val="nil"/>
          <w:right w:val="nil"/>
          <w:insideH w:val="single" w:sz="4" w:space="0" w:color="3578C6" w:themeColor="accent5" w:themeShade="99"/>
          <w:insideV w:val="nil"/>
        </w:tcBorders>
        <w:shd w:val="clear" w:color="auto" w:fill="3578C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78C6" w:themeFill="accent5" w:themeFillShade="99"/>
      </w:tcPr>
    </w:tblStylePr>
    <w:tblStylePr w:type="band1Vert">
      <w:tblPr/>
      <w:tcPr>
        <w:shd w:val="clear" w:color="auto" w:fill="E2ECF7" w:themeFill="accent5" w:themeFillTint="66"/>
      </w:tcPr>
    </w:tblStylePr>
    <w:tblStylePr w:type="band1Horz">
      <w:tblPr/>
      <w:tcPr>
        <w:shd w:val="clear" w:color="auto" w:fill="DBE7F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D0835"/>
    <w:pPr>
      <w:spacing w:line="240" w:lineRule="atLeast"/>
    </w:pPr>
    <w:rPr>
      <w:rFonts w:eastAsia="MS Mincho"/>
      <w:color w:val="000000" w:themeColor="text1"/>
      <w:sz w:val="18"/>
      <w:szCs w:val="18"/>
    </w:rPr>
    <w:tblPr>
      <w:tblStyleRowBandSize w:val="1"/>
      <w:tblStyleColBandSize w:val="1"/>
      <w:tblBorders>
        <w:top w:val="single" w:sz="24" w:space="0" w:color="B8D0EC" w:themeColor="accent5"/>
        <w:left w:val="single" w:sz="4" w:space="0" w:color="C4EC9A" w:themeColor="accent6"/>
        <w:bottom w:val="single" w:sz="4" w:space="0" w:color="C4EC9A" w:themeColor="accent6"/>
        <w:right w:val="single" w:sz="4" w:space="0" w:color="C4EC9A" w:themeColor="accent6"/>
        <w:insideH w:val="single" w:sz="4" w:space="0" w:color="FFFFFF" w:themeColor="background1"/>
        <w:insideV w:val="single" w:sz="4" w:space="0" w:color="FFFFFF" w:themeColor="background1"/>
      </w:tblBorders>
    </w:tblPr>
    <w:tcPr>
      <w:shd w:val="clear" w:color="auto" w:fill="F9FDF4"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B8D0E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C425" w:themeFill="accent6" w:themeFillShade="99"/>
      </w:tcPr>
    </w:tblStylePr>
    <w:tblStylePr w:type="firstCol">
      <w:rPr>
        <w:color w:val="FFFFFF" w:themeColor="background1"/>
      </w:rPr>
      <w:tblPr/>
      <w:tcPr>
        <w:tcBorders>
          <w:top w:val="nil"/>
          <w:left w:val="nil"/>
          <w:bottom w:val="nil"/>
          <w:right w:val="nil"/>
          <w:insideH w:val="single" w:sz="4" w:space="0" w:color="76C425" w:themeColor="accent6" w:themeShade="99"/>
          <w:insideV w:val="nil"/>
        </w:tcBorders>
        <w:shd w:val="clear" w:color="auto" w:fill="76C42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6C425" w:themeFill="accent6" w:themeFillShade="99"/>
      </w:tcPr>
    </w:tblStylePr>
    <w:tblStylePr w:type="band1Vert">
      <w:tblPr/>
      <w:tcPr>
        <w:shd w:val="clear" w:color="auto" w:fill="E7F7D6" w:themeFill="accent6" w:themeFillTint="66"/>
      </w:tcPr>
    </w:tblStylePr>
    <w:tblStylePr w:type="band1Horz">
      <w:tblPr/>
      <w:tcPr>
        <w:shd w:val="clear" w:color="auto" w:fill="E1F5C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uiPriority w:val="99"/>
    <w:semiHidden/>
    <w:unhideWhenUsed/>
    <w:rsid w:val="00DD0835"/>
    <w:rPr>
      <w:sz w:val="16"/>
      <w:szCs w:val="16"/>
    </w:rPr>
  </w:style>
  <w:style w:type="paragraph" w:styleId="CommentText">
    <w:name w:val="annotation text"/>
    <w:basedOn w:val="Normal"/>
    <w:link w:val="CommentTextChar"/>
    <w:uiPriority w:val="99"/>
    <w:unhideWhenUsed/>
    <w:rsid w:val="00DD0835"/>
    <w:rPr>
      <w:lang w:val="x-none" w:bidi="he-IL"/>
    </w:rPr>
  </w:style>
  <w:style w:type="character" w:customStyle="1" w:styleId="CommentTextChar">
    <w:name w:val="Comment Text Char"/>
    <w:link w:val="CommentText"/>
    <w:uiPriority w:val="99"/>
    <w:rsid w:val="00DD0835"/>
    <w:rPr>
      <w:lang w:val="x-none" w:bidi="he-IL"/>
    </w:rPr>
  </w:style>
  <w:style w:type="paragraph" w:styleId="CommentSubject">
    <w:name w:val="annotation subject"/>
    <w:basedOn w:val="CommentText"/>
    <w:next w:val="CommentText"/>
    <w:link w:val="CommentSubjectChar"/>
    <w:uiPriority w:val="99"/>
    <w:semiHidden/>
    <w:unhideWhenUsed/>
    <w:rsid w:val="00DD0835"/>
    <w:rPr>
      <w:b/>
      <w:bCs/>
    </w:rPr>
  </w:style>
  <w:style w:type="character" w:customStyle="1" w:styleId="CommentSubjectChar">
    <w:name w:val="Comment Subject Char"/>
    <w:link w:val="CommentSubject"/>
    <w:uiPriority w:val="99"/>
    <w:semiHidden/>
    <w:rsid w:val="00DD0835"/>
    <w:rPr>
      <w:b/>
      <w:bCs/>
      <w:lang w:val="x-none" w:bidi="he-IL"/>
    </w:rPr>
  </w:style>
  <w:style w:type="table" w:styleId="DarkList">
    <w:name w:val="Dark List"/>
    <w:basedOn w:val="TableNormal"/>
    <w:uiPriority w:val="70"/>
    <w:rsid w:val="00DD0835"/>
    <w:pPr>
      <w:spacing w:line="240" w:lineRule="atLeast"/>
    </w:pPr>
    <w:rPr>
      <w:rFonts w:eastAsia="MS Mincho"/>
      <w:color w:val="FFFFFF" w:themeColor="background1"/>
      <w:sz w:val="18"/>
      <w:szCs w:val="18"/>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DD0835"/>
    <w:pPr>
      <w:spacing w:line="240" w:lineRule="atLeast"/>
    </w:pPr>
    <w:rPr>
      <w:rFonts w:eastAsia="MS Mincho"/>
      <w:color w:val="FFFFFF" w:themeColor="background1"/>
      <w:sz w:val="18"/>
      <w:szCs w:val="18"/>
    </w:rPr>
    <w:tblPr>
      <w:tblStyleRowBandSize w:val="1"/>
      <w:tblStyleColBandSize w:val="1"/>
    </w:tblPr>
    <w:tcPr>
      <w:shd w:val="clear" w:color="auto" w:fill="203136"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18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24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2428" w:themeFill="accent1" w:themeFillShade="BF"/>
      </w:tcPr>
    </w:tblStylePr>
    <w:tblStylePr w:type="band1Vert">
      <w:tblPr/>
      <w:tcPr>
        <w:tcBorders>
          <w:top w:val="nil"/>
          <w:left w:val="nil"/>
          <w:bottom w:val="nil"/>
          <w:right w:val="nil"/>
          <w:insideH w:val="nil"/>
          <w:insideV w:val="nil"/>
        </w:tcBorders>
        <w:shd w:val="clear" w:color="auto" w:fill="182428" w:themeFill="accent1" w:themeFillShade="BF"/>
      </w:tcPr>
    </w:tblStylePr>
    <w:tblStylePr w:type="band1Horz">
      <w:tblPr/>
      <w:tcPr>
        <w:tcBorders>
          <w:top w:val="nil"/>
          <w:left w:val="nil"/>
          <w:bottom w:val="nil"/>
          <w:right w:val="nil"/>
          <w:insideH w:val="nil"/>
          <w:insideV w:val="nil"/>
        </w:tcBorders>
        <w:shd w:val="clear" w:color="auto" w:fill="182428" w:themeFill="accent1" w:themeFillShade="BF"/>
      </w:tcPr>
    </w:tblStylePr>
  </w:style>
  <w:style w:type="table" w:styleId="DarkList-Accent2">
    <w:name w:val="Dark List Accent 2"/>
    <w:basedOn w:val="TableNormal"/>
    <w:uiPriority w:val="70"/>
    <w:rsid w:val="00DD0835"/>
    <w:pPr>
      <w:spacing w:line="240" w:lineRule="atLeast"/>
    </w:pPr>
    <w:rPr>
      <w:rFonts w:eastAsia="MS Mincho"/>
      <w:color w:val="FFFFFF" w:themeColor="background1"/>
      <w:sz w:val="18"/>
      <w:szCs w:val="18"/>
    </w:rPr>
    <w:tblPr>
      <w:tblStyleRowBandSize w:val="1"/>
      <w:tblStyleColBandSize w:val="1"/>
    </w:tblPr>
    <w:tcPr>
      <w:shd w:val="clear" w:color="auto" w:fill="DDFC70"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B10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7FA1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7FA16" w:themeFill="accent2" w:themeFillShade="BF"/>
      </w:tcPr>
    </w:tblStylePr>
    <w:tblStylePr w:type="band1Vert">
      <w:tblPr/>
      <w:tcPr>
        <w:tcBorders>
          <w:top w:val="nil"/>
          <w:left w:val="nil"/>
          <w:bottom w:val="nil"/>
          <w:right w:val="nil"/>
          <w:insideH w:val="nil"/>
          <w:insideV w:val="nil"/>
        </w:tcBorders>
        <w:shd w:val="clear" w:color="auto" w:fill="C7FA16" w:themeFill="accent2" w:themeFillShade="BF"/>
      </w:tcPr>
    </w:tblStylePr>
    <w:tblStylePr w:type="band1Horz">
      <w:tblPr/>
      <w:tcPr>
        <w:tcBorders>
          <w:top w:val="nil"/>
          <w:left w:val="nil"/>
          <w:bottom w:val="nil"/>
          <w:right w:val="nil"/>
          <w:insideH w:val="nil"/>
          <w:insideV w:val="nil"/>
        </w:tcBorders>
        <w:shd w:val="clear" w:color="auto" w:fill="C7FA16" w:themeFill="accent2" w:themeFillShade="BF"/>
      </w:tcPr>
    </w:tblStylePr>
  </w:style>
  <w:style w:type="table" w:styleId="DarkList-Accent3">
    <w:name w:val="Dark List Accent 3"/>
    <w:basedOn w:val="TableNormal"/>
    <w:uiPriority w:val="70"/>
    <w:rsid w:val="00DD0835"/>
    <w:pPr>
      <w:spacing w:line="240" w:lineRule="atLeast"/>
    </w:pPr>
    <w:rPr>
      <w:rFonts w:eastAsia="MS Mincho"/>
      <w:color w:val="FFFFFF" w:themeColor="background1"/>
      <w:sz w:val="18"/>
      <w:szCs w:val="18"/>
    </w:rPr>
    <w:tblPr>
      <w:tblStyleRowBandSize w:val="1"/>
      <w:tblStyleColBandSize w:val="1"/>
    </w:tblPr>
    <w:tcPr>
      <w:shd w:val="clear" w:color="auto" w:fill="D5C8B6"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664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0987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09876" w:themeFill="accent3" w:themeFillShade="BF"/>
      </w:tcPr>
    </w:tblStylePr>
    <w:tblStylePr w:type="band1Vert">
      <w:tblPr/>
      <w:tcPr>
        <w:tcBorders>
          <w:top w:val="nil"/>
          <w:left w:val="nil"/>
          <w:bottom w:val="nil"/>
          <w:right w:val="nil"/>
          <w:insideH w:val="nil"/>
          <w:insideV w:val="nil"/>
        </w:tcBorders>
        <w:shd w:val="clear" w:color="auto" w:fill="B09876" w:themeFill="accent3" w:themeFillShade="BF"/>
      </w:tcPr>
    </w:tblStylePr>
    <w:tblStylePr w:type="band1Horz">
      <w:tblPr/>
      <w:tcPr>
        <w:tcBorders>
          <w:top w:val="nil"/>
          <w:left w:val="nil"/>
          <w:bottom w:val="nil"/>
          <w:right w:val="nil"/>
          <w:insideH w:val="nil"/>
          <w:insideV w:val="nil"/>
        </w:tcBorders>
        <w:shd w:val="clear" w:color="auto" w:fill="B09876" w:themeFill="accent3" w:themeFillShade="BF"/>
      </w:tcPr>
    </w:tblStylePr>
  </w:style>
  <w:style w:type="table" w:styleId="DarkList-Accent4">
    <w:name w:val="Dark List Accent 4"/>
    <w:basedOn w:val="TableNormal"/>
    <w:uiPriority w:val="70"/>
    <w:rsid w:val="00DD0835"/>
    <w:pPr>
      <w:spacing w:line="240" w:lineRule="atLeast"/>
    </w:pPr>
    <w:rPr>
      <w:rFonts w:eastAsia="MS Mincho"/>
      <w:color w:val="FFFFFF" w:themeColor="background1"/>
      <w:sz w:val="18"/>
      <w:szCs w:val="18"/>
    </w:rPr>
    <w:tblPr>
      <w:tblStyleRowBandSize w:val="1"/>
      <w:tblStyleColBandSize w:val="1"/>
    </w:tblPr>
    <w:tcPr>
      <w:shd w:val="clear" w:color="auto" w:fill="889EA6"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505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0788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07881" w:themeFill="accent4" w:themeFillShade="BF"/>
      </w:tcPr>
    </w:tblStylePr>
    <w:tblStylePr w:type="band1Vert">
      <w:tblPr/>
      <w:tcPr>
        <w:tcBorders>
          <w:top w:val="nil"/>
          <w:left w:val="nil"/>
          <w:bottom w:val="nil"/>
          <w:right w:val="nil"/>
          <w:insideH w:val="nil"/>
          <w:insideV w:val="nil"/>
        </w:tcBorders>
        <w:shd w:val="clear" w:color="auto" w:fill="607881" w:themeFill="accent4" w:themeFillShade="BF"/>
      </w:tcPr>
    </w:tblStylePr>
    <w:tblStylePr w:type="band1Horz">
      <w:tblPr/>
      <w:tcPr>
        <w:tcBorders>
          <w:top w:val="nil"/>
          <w:left w:val="nil"/>
          <w:bottom w:val="nil"/>
          <w:right w:val="nil"/>
          <w:insideH w:val="nil"/>
          <w:insideV w:val="nil"/>
        </w:tcBorders>
        <w:shd w:val="clear" w:color="auto" w:fill="607881" w:themeFill="accent4" w:themeFillShade="BF"/>
      </w:tcPr>
    </w:tblStylePr>
  </w:style>
  <w:style w:type="table" w:styleId="DarkList-Accent5">
    <w:name w:val="Dark List Accent 5"/>
    <w:basedOn w:val="TableNormal"/>
    <w:uiPriority w:val="70"/>
    <w:rsid w:val="00DD0835"/>
    <w:pPr>
      <w:spacing w:line="240" w:lineRule="atLeast"/>
    </w:pPr>
    <w:rPr>
      <w:rFonts w:eastAsia="MS Mincho"/>
      <w:color w:val="FFFFFF" w:themeColor="background1"/>
      <w:sz w:val="18"/>
      <w:szCs w:val="18"/>
    </w:rPr>
    <w:tblPr>
      <w:tblStyleRowBandSize w:val="1"/>
      <w:tblStyleColBandSize w:val="1"/>
    </w:tblPr>
    <w:tcPr>
      <w:shd w:val="clear" w:color="auto" w:fill="B8D0EC"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63A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498D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498D5" w:themeFill="accent5" w:themeFillShade="BF"/>
      </w:tcPr>
    </w:tblStylePr>
    <w:tblStylePr w:type="band1Vert">
      <w:tblPr/>
      <w:tcPr>
        <w:tcBorders>
          <w:top w:val="nil"/>
          <w:left w:val="nil"/>
          <w:bottom w:val="nil"/>
          <w:right w:val="nil"/>
          <w:insideH w:val="nil"/>
          <w:insideV w:val="nil"/>
        </w:tcBorders>
        <w:shd w:val="clear" w:color="auto" w:fill="6498D5" w:themeFill="accent5" w:themeFillShade="BF"/>
      </w:tcPr>
    </w:tblStylePr>
    <w:tblStylePr w:type="band1Horz">
      <w:tblPr/>
      <w:tcPr>
        <w:tcBorders>
          <w:top w:val="nil"/>
          <w:left w:val="nil"/>
          <w:bottom w:val="nil"/>
          <w:right w:val="nil"/>
          <w:insideH w:val="nil"/>
          <w:insideV w:val="nil"/>
        </w:tcBorders>
        <w:shd w:val="clear" w:color="auto" w:fill="6498D5" w:themeFill="accent5" w:themeFillShade="BF"/>
      </w:tcPr>
    </w:tblStylePr>
  </w:style>
  <w:style w:type="table" w:styleId="DarkList-Accent6">
    <w:name w:val="Dark List Accent 6"/>
    <w:basedOn w:val="TableNormal"/>
    <w:uiPriority w:val="70"/>
    <w:rsid w:val="00DD0835"/>
    <w:pPr>
      <w:spacing w:line="240" w:lineRule="atLeast"/>
    </w:pPr>
    <w:rPr>
      <w:rFonts w:eastAsia="MS Mincho"/>
      <w:color w:val="FFFFFF" w:themeColor="background1"/>
      <w:sz w:val="18"/>
      <w:szCs w:val="18"/>
    </w:rPr>
    <w:tblPr>
      <w:tblStyleRowBandSize w:val="1"/>
      <w:tblStyleColBandSize w:val="1"/>
    </w:tblPr>
    <w:tcPr>
      <w:shd w:val="clear" w:color="auto" w:fill="C4EC9A"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A3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3DC4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3DC47" w:themeFill="accent6" w:themeFillShade="BF"/>
      </w:tcPr>
    </w:tblStylePr>
    <w:tblStylePr w:type="band1Vert">
      <w:tblPr/>
      <w:tcPr>
        <w:tcBorders>
          <w:top w:val="nil"/>
          <w:left w:val="nil"/>
          <w:bottom w:val="nil"/>
          <w:right w:val="nil"/>
          <w:insideH w:val="nil"/>
          <w:insideV w:val="nil"/>
        </w:tcBorders>
        <w:shd w:val="clear" w:color="auto" w:fill="93DC47" w:themeFill="accent6" w:themeFillShade="BF"/>
      </w:tcPr>
    </w:tblStylePr>
    <w:tblStylePr w:type="band1Horz">
      <w:tblPr/>
      <w:tcPr>
        <w:tcBorders>
          <w:top w:val="nil"/>
          <w:left w:val="nil"/>
          <w:bottom w:val="nil"/>
          <w:right w:val="nil"/>
          <w:insideH w:val="nil"/>
          <w:insideV w:val="nil"/>
        </w:tcBorders>
        <w:shd w:val="clear" w:color="auto" w:fill="93DC47" w:themeFill="accent6" w:themeFillShade="BF"/>
      </w:tcPr>
    </w:tblStylePr>
  </w:style>
  <w:style w:type="paragraph" w:customStyle="1" w:styleId="TableHeading">
    <w:name w:val="Table Heading"/>
    <w:basedOn w:val="Normal"/>
    <w:next w:val="Normal"/>
    <w:uiPriority w:val="5"/>
    <w:qFormat/>
    <w:rsid w:val="00DD0835"/>
    <w:pPr>
      <w:spacing w:before="0" w:after="0"/>
    </w:pPr>
    <w:rPr>
      <w:rFonts w:asciiTheme="majorHAnsi" w:hAnsiTheme="majorHAnsi"/>
      <w:color w:val="DDFC70" w:themeColor="accent2"/>
      <w:sz w:val="18"/>
    </w:rPr>
  </w:style>
  <w:style w:type="paragraph" w:styleId="DocumentMap">
    <w:name w:val="Document Map"/>
    <w:basedOn w:val="Normal"/>
    <w:link w:val="DocumentMapChar"/>
    <w:uiPriority w:val="99"/>
    <w:semiHidden/>
    <w:unhideWhenUsed/>
    <w:rsid w:val="00DD0835"/>
    <w:rPr>
      <w:rFonts w:ascii="Tahoma" w:hAnsi="Tahoma" w:cs="Segoe UI"/>
      <w:sz w:val="16"/>
      <w:szCs w:val="16"/>
      <w:lang w:eastAsia="x-none" w:bidi="he-IL"/>
    </w:rPr>
  </w:style>
  <w:style w:type="character" w:customStyle="1" w:styleId="DocumentMapChar">
    <w:name w:val="Document Map Char"/>
    <w:link w:val="DocumentMap"/>
    <w:uiPriority w:val="99"/>
    <w:semiHidden/>
    <w:rsid w:val="00DD0835"/>
    <w:rPr>
      <w:rFonts w:ascii="Tahoma" w:hAnsi="Tahoma" w:cs="Segoe UI"/>
      <w:sz w:val="16"/>
      <w:szCs w:val="16"/>
      <w:lang w:val="en-AU" w:eastAsia="x-none" w:bidi="he-IL"/>
    </w:rPr>
  </w:style>
  <w:style w:type="paragraph" w:styleId="E-mailSignature">
    <w:name w:val="E-mail Signature"/>
    <w:basedOn w:val="Normal"/>
    <w:link w:val="E-mailSignatureChar"/>
    <w:uiPriority w:val="99"/>
    <w:semiHidden/>
    <w:unhideWhenUsed/>
    <w:rsid w:val="00DD0835"/>
  </w:style>
  <w:style w:type="character" w:customStyle="1" w:styleId="E-mailSignatureChar">
    <w:name w:val="E-mail Signature Char"/>
    <w:basedOn w:val="DefaultParagraphFont"/>
    <w:link w:val="E-mailSignature"/>
    <w:uiPriority w:val="99"/>
    <w:semiHidden/>
    <w:rsid w:val="00DD0835"/>
    <w:rPr>
      <w:lang w:val="en-AU"/>
    </w:rPr>
  </w:style>
  <w:style w:type="character" w:styleId="EndnoteReference">
    <w:name w:val="endnote reference"/>
    <w:basedOn w:val="DefaultParagraphFont"/>
    <w:uiPriority w:val="99"/>
    <w:semiHidden/>
    <w:unhideWhenUsed/>
    <w:rsid w:val="00DD0835"/>
    <w:rPr>
      <w:vertAlign w:val="superscript"/>
    </w:rPr>
  </w:style>
  <w:style w:type="paragraph" w:styleId="EndnoteText">
    <w:name w:val="endnote text"/>
    <w:basedOn w:val="Normal"/>
    <w:link w:val="EndnoteTextChar"/>
    <w:uiPriority w:val="99"/>
    <w:semiHidden/>
    <w:unhideWhenUsed/>
    <w:rsid w:val="00DD0835"/>
  </w:style>
  <w:style w:type="character" w:customStyle="1" w:styleId="EndnoteTextChar">
    <w:name w:val="Endnote Text Char"/>
    <w:basedOn w:val="DefaultParagraphFont"/>
    <w:link w:val="EndnoteText"/>
    <w:uiPriority w:val="99"/>
    <w:semiHidden/>
    <w:rsid w:val="00DD0835"/>
    <w:rPr>
      <w:lang w:val="en-AU"/>
    </w:rPr>
  </w:style>
  <w:style w:type="character" w:styleId="FollowedHyperlink">
    <w:name w:val="FollowedHyperlink"/>
    <w:uiPriority w:val="99"/>
    <w:rsid w:val="00DD0835"/>
    <w:rPr>
      <w:color w:val="auto"/>
      <w:u w:val="single"/>
    </w:rPr>
  </w:style>
  <w:style w:type="character" w:styleId="HTMLAcronym">
    <w:name w:val="HTML Acronym"/>
    <w:basedOn w:val="DefaultParagraphFont"/>
    <w:uiPriority w:val="99"/>
    <w:semiHidden/>
    <w:unhideWhenUsed/>
    <w:rsid w:val="00DD0835"/>
  </w:style>
  <w:style w:type="paragraph" w:styleId="HTMLAddress">
    <w:name w:val="HTML Address"/>
    <w:basedOn w:val="Normal"/>
    <w:link w:val="HTMLAddressChar"/>
    <w:uiPriority w:val="99"/>
    <w:semiHidden/>
    <w:unhideWhenUsed/>
    <w:rsid w:val="00DD0835"/>
    <w:rPr>
      <w:i/>
      <w:iCs/>
    </w:rPr>
  </w:style>
  <w:style w:type="character" w:customStyle="1" w:styleId="HTMLAddressChar">
    <w:name w:val="HTML Address Char"/>
    <w:basedOn w:val="DefaultParagraphFont"/>
    <w:link w:val="HTMLAddress"/>
    <w:uiPriority w:val="99"/>
    <w:semiHidden/>
    <w:rsid w:val="00DD0835"/>
    <w:rPr>
      <w:i/>
      <w:iCs/>
      <w:lang w:val="en-AU"/>
    </w:rPr>
  </w:style>
  <w:style w:type="character" w:styleId="HTMLCite">
    <w:name w:val="HTML Cite"/>
    <w:basedOn w:val="DefaultParagraphFont"/>
    <w:uiPriority w:val="99"/>
    <w:semiHidden/>
    <w:unhideWhenUsed/>
    <w:rsid w:val="00DD0835"/>
    <w:rPr>
      <w:i/>
      <w:iCs/>
    </w:rPr>
  </w:style>
  <w:style w:type="character" w:styleId="HTMLCode">
    <w:name w:val="HTML Code"/>
    <w:basedOn w:val="DefaultParagraphFont"/>
    <w:uiPriority w:val="99"/>
    <w:semiHidden/>
    <w:unhideWhenUsed/>
    <w:rsid w:val="00DD0835"/>
    <w:rPr>
      <w:rFonts w:ascii="Consolas" w:hAnsi="Consolas" w:cs="Consolas"/>
      <w:sz w:val="20"/>
      <w:szCs w:val="20"/>
    </w:rPr>
  </w:style>
  <w:style w:type="character" w:styleId="HTMLDefinition">
    <w:name w:val="HTML Definition"/>
    <w:basedOn w:val="DefaultParagraphFont"/>
    <w:uiPriority w:val="99"/>
    <w:semiHidden/>
    <w:unhideWhenUsed/>
    <w:rsid w:val="00DD0835"/>
    <w:rPr>
      <w:i/>
      <w:iCs/>
    </w:rPr>
  </w:style>
  <w:style w:type="character" w:styleId="HTMLKeyboard">
    <w:name w:val="HTML Keyboard"/>
    <w:basedOn w:val="DefaultParagraphFont"/>
    <w:uiPriority w:val="99"/>
    <w:semiHidden/>
    <w:unhideWhenUsed/>
    <w:rsid w:val="00DD0835"/>
    <w:rPr>
      <w:rFonts w:ascii="Consolas" w:hAnsi="Consolas" w:cs="Consolas"/>
      <w:sz w:val="20"/>
      <w:szCs w:val="20"/>
    </w:rPr>
  </w:style>
  <w:style w:type="paragraph" w:styleId="HTMLPreformatted">
    <w:name w:val="HTML Preformatted"/>
    <w:basedOn w:val="Normal"/>
    <w:link w:val="HTMLPreformattedChar"/>
    <w:uiPriority w:val="99"/>
    <w:semiHidden/>
    <w:unhideWhenUsed/>
    <w:rsid w:val="00DD0835"/>
    <w:rPr>
      <w:rFonts w:ascii="Consolas" w:hAnsi="Consolas" w:cs="Consolas"/>
    </w:rPr>
  </w:style>
  <w:style w:type="character" w:customStyle="1" w:styleId="HTMLPreformattedChar">
    <w:name w:val="HTML Preformatted Char"/>
    <w:basedOn w:val="DefaultParagraphFont"/>
    <w:link w:val="HTMLPreformatted"/>
    <w:uiPriority w:val="99"/>
    <w:semiHidden/>
    <w:rsid w:val="00DD0835"/>
    <w:rPr>
      <w:rFonts w:ascii="Consolas" w:hAnsi="Consolas" w:cs="Consolas"/>
      <w:lang w:val="en-AU"/>
    </w:rPr>
  </w:style>
  <w:style w:type="character" w:styleId="HTMLSample">
    <w:name w:val="HTML Sample"/>
    <w:basedOn w:val="DefaultParagraphFont"/>
    <w:uiPriority w:val="99"/>
    <w:semiHidden/>
    <w:unhideWhenUsed/>
    <w:rsid w:val="00DD0835"/>
    <w:rPr>
      <w:rFonts w:ascii="Consolas" w:hAnsi="Consolas" w:cs="Consolas"/>
      <w:sz w:val="24"/>
      <w:szCs w:val="24"/>
    </w:rPr>
  </w:style>
  <w:style w:type="character" w:styleId="HTMLTypewriter">
    <w:name w:val="HTML Typewriter"/>
    <w:basedOn w:val="DefaultParagraphFont"/>
    <w:uiPriority w:val="99"/>
    <w:semiHidden/>
    <w:unhideWhenUsed/>
    <w:rsid w:val="00DD0835"/>
    <w:rPr>
      <w:rFonts w:ascii="Consolas" w:hAnsi="Consolas" w:cs="Consolas"/>
      <w:sz w:val="20"/>
      <w:szCs w:val="20"/>
    </w:rPr>
  </w:style>
  <w:style w:type="character" w:styleId="HTMLVariable">
    <w:name w:val="HTML Variable"/>
    <w:basedOn w:val="DefaultParagraphFont"/>
    <w:uiPriority w:val="99"/>
    <w:semiHidden/>
    <w:unhideWhenUsed/>
    <w:rsid w:val="00DD0835"/>
    <w:rPr>
      <w:i/>
      <w:iCs/>
    </w:rPr>
  </w:style>
  <w:style w:type="character" w:styleId="Hyperlink">
    <w:name w:val="Hyperlink"/>
    <w:uiPriority w:val="99"/>
    <w:rsid w:val="00DD0835"/>
    <w:rPr>
      <w:color w:val="203136" w:themeColor="accent1"/>
      <w:u w:val="single"/>
    </w:rPr>
  </w:style>
  <w:style w:type="paragraph" w:styleId="Index1">
    <w:name w:val="index 1"/>
    <w:basedOn w:val="Normal"/>
    <w:next w:val="Normal"/>
    <w:autoRedefine/>
    <w:uiPriority w:val="99"/>
    <w:semiHidden/>
    <w:unhideWhenUsed/>
    <w:rsid w:val="00DD0835"/>
    <w:pPr>
      <w:ind w:left="220" w:hanging="220"/>
    </w:pPr>
  </w:style>
  <w:style w:type="paragraph" w:styleId="Index2">
    <w:name w:val="index 2"/>
    <w:basedOn w:val="Normal"/>
    <w:next w:val="Normal"/>
    <w:autoRedefine/>
    <w:uiPriority w:val="99"/>
    <w:semiHidden/>
    <w:unhideWhenUsed/>
    <w:rsid w:val="00DD0835"/>
    <w:pPr>
      <w:ind w:left="440" w:hanging="220"/>
    </w:pPr>
  </w:style>
  <w:style w:type="paragraph" w:styleId="Index3">
    <w:name w:val="index 3"/>
    <w:basedOn w:val="Normal"/>
    <w:next w:val="Normal"/>
    <w:autoRedefine/>
    <w:uiPriority w:val="99"/>
    <w:semiHidden/>
    <w:unhideWhenUsed/>
    <w:rsid w:val="00DD0835"/>
    <w:pPr>
      <w:ind w:left="660" w:hanging="220"/>
    </w:pPr>
  </w:style>
  <w:style w:type="paragraph" w:styleId="Index4">
    <w:name w:val="index 4"/>
    <w:basedOn w:val="Normal"/>
    <w:next w:val="Normal"/>
    <w:autoRedefine/>
    <w:uiPriority w:val="99"/>
    <w:semiHidden/>
    <w:unhideWhenUsed/>
    <w:rsid w:val="00DD0835"/>
    <w:pPr>
      <w:ind w:left="880" w:hanging="220"/>
    </w:pPr>
  </w:style>
  <w:style w:type="paragraph" w:styleId="Index5">
    <w:name w:val="index 5"/>
    <w:basedOn w:val="Normal"/>
    <w:next w:val="Normal"/>
    <w:autoRedefine/>
    <w:uiPriority w:val="99"/>
    <w:semiHidden/>
    <w:unhideWhenUsed/>
    <w:rsid w:val="00DD0835"/>
    <w:pPr>
      <w:ind w:left="1100" w:hanging="220"/>
    </w:pPr>
  </w:style>
  <w:style w:type="paragraph" w:styleId="Index6">
    <w:name w:val="index 6"/>
    <w:basedOn w:val="Normal"/>
    <w:next w:val="Normal"/>
    <w:autoRedefine/>
    <w:uiPriority w:val="99"/>
    <w:semiHidden/>
    <w:unhideWhenUsed/>
    <w:rsid w:val="00DD0835"/>
    <w:pPr>
      <w:ind w:left="1320" w:hanging="220"/>
    </w:pPr>
  </w:style>
  <w:style w:type="paragraph" w:styleId="Index7">
    <w:name w:val="index 7"/>
    <w:basedOn w:val="Normal"/>
    <w:next w:val="Normal"/>
    <w:autoRedefine/>
    <w:uiPriority w:val="99"/>
    <w:semiHidden/>
    <w:unhideWhenUsed/>
    <w:rsid w:val="00DD0835"/>
    <w:pPr>
      <w:ind w:left="1540" w:hanging="220"/>
    </w:pPr>
  </w:style>
  <w:style w:type="paragraph" w:styleId="Index8">
    <w:name w:val="index 8"/>
    <w:basedOn w:val="Normal"/>
    <w:next w:val="Normal"/>
    <w:autoRedefine/>
    <w:uiPriority w:val="99"/>
    <w:semiHidden/>
    <w:unhideWhenUsed/>
    <w:rsid w:val="00DD0835"/>
    <w:pPr>
      <w:ind w:left="1760" w:hanging="220"/>
    </w:pPr>
  </w:style>
  <w:style w:type="paragraph" w:styleId="Index9">
    <w:name w:val="index 9"/>
    <w:basedOn w:val="Normal"/>
    <w:next w:val="Normal"/>
    <w:autoRedefine/>
    <w:uiPriority w:val="99"/>
    <w:semiHidden/>
    <w:unhideWhenUsed/>
    <w:rsid w:val="00DD0835"/>
    <w:pPr>
      <w:ind w:left="1980" w:hanging="220"/>
    </w:pPr>
  </w:style>
  <w:style w:type="paragraph" w:styleId="IndexHeading">
    <w:name w:val="index heading"/>
    <w:basedOn w:val="Normal"/>
    <w:next w:val="Index1"/>
    <w:uiPriority w:val="99"/>
    <w:semiHidden/>
    <w:unhideWhenUsed/>
    <w:rsid w:val="00DD0835"/>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DD0835"/>
    <w:pPr>
      <w:pBdr>
        <w:bottom w:val="single" w:sz="4" w:space="4" w:color="203136" w:themeColor="accent1"/>
      </w:pBdr>
      <w:spacing w:before="200" w:after="280"/>
      <w:ind w:left="936" w:right="936"/>
    </w:pPr>
    <w:rPr>
      <w:b/>
      <w:bCs/>
      <w:i/>
      <w:iCs/>
      <w:color w:val="203136" w:themeColor="accent1"/>
    </w:rPr>
  </w:style>
  <w:style w:type="character" w:customStyle="1" w:styleId="IntenseQuoteChar">
    <w:name w:val="Intense Quote Char"/>
    <w:basedOn w:val="DefaultParagraphFont"/>
    <w:link w:val="IntenseQuote"/>
    <w:uiPriority w:val="30"/>
    <w:semiHidden/>
    <w:rsid w:val="00DD0835"/>
    <w:rPr>
      <w:b/>
      <w:bCs/>
      <w:i/>
      <w:iCs/>
      <w:color w:val="203136" w:themeColor="accent1"/>
      <w:lang w:val="en-AU"/>
    </w:rPr>
  </w:style>
  <w:style w:type="character" w:styleId="IntenseReference">
    <w:name w:val="Intense Reference"/>
    <w:basedOn w:val="DefaultParagraphFont"/>
    <w:uiPriority w:val="32"/>
    <w:semiHidden/>
    <w:qFormat/>
    <w:rsid w:val="00DD0835"/>
    <w:rPr>
      <w:b/>
      <w:bCs/>
      <w:smallCaps/>
      <w:color w:val="DDFC70" w:themeColor="accent2"/>
      <w:spacing w:val="5"/>
      <w:u w:val="single"/>
    </w:rPr>
  </w:style>
  <w:style w:type="table" w:styleId="LightGrid">
    <w:name w:val="Light Grid"/>
    <w:basedOn w:val="TableNormal"/>
    <w:uiPriority w:val="62"/>
    <w:rsid w:val="00DD0835"/>
    <w:pPr>
      <w:spacing w:line="240" w:lineRule="atLeast"/>
    </w:pPr>
    <w:rPr>
      <w:rFonts w:eastAsia="MS Mincho"/>
      <w:color w:val="000000" w:themeColor="text2"/>
      <w:sz w:val="18"/>
      <w:szCs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DD0835"/>
    <w:pPr>
      <w:spacing w:line="240" w:lineRule="atLeast"/>
    </w:pPr>
    <w:rPr>
      <w:rFonts w:eastAsia="MS Mincho"/>
      <w:color w:val="000000" w:themeColor="text2"/>
      <w:sz w:val="18"/>
      <w:szCs w:val="18"/>
    </w:rPr>
    <w:tblPr>
      <w:tblStyleRowBandSize w:val="1"/>
      <w:tblStyleColBandSize w:val="1"/>
      <w:tblBorders>
        <w:top w:val="single" w:sz="8" w:space="0" w:color="203136" w:themeColor="accent1"/>
        <w:left w:val="single" w:sz="8" w:space="0" w:color="203136" w:themeColor="accent1"/>
        <w:bottom w:val="single" w:sz="8" w:space="0" w:color="203136" w:themeColor="accent1"/>
        <w:right w:val="single" w:sz="8" w:space="0" w:color="203136" w:themeColor="accent1"/>
        <w:insideH w:val="single" w:sz="8" w:space="0" w:color="203136" w:themeColor="accent1"/>
        <w:insideV w:val="single" w:sz="8" w:space="0" w:color="203136"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203136" w:themeColor="accent1"/>
          <w:left w:val="single" w:sz="8" w:space="0" w:color="203136" w:themeColor="accent1"/>
          <w:bottom w:val="single" w:sz="18" w:space="0" w:color="203136" w:themeColor="accent1"/>
          <w:right w:val="single" w:sz="8" w:space="0" w:color="203136" w:themeColor="accent1"/>
          <w:insideH w:val="nil"/>
          <w:insideV w:val="single" w:sz="8" w:space="0" w:color="20313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3136" w:themeColor="accent1"/>
          <w:left w:val="single" w:sz="8" w:space="0" w:color="203136" w:themeColor="accent1"/>
          <w:bottom w:val="single" w:sz="8" w:space="0" w:color="203136" w:themeColor="accent1"/>
          <w:right w:val="single" w:sz="8" w:space="0" w:color="203136" w:themeColor="accent1"/>
          <w:insideH w:val="nil"/>
          <w:insideV w:val="single" w:sz="8" w:space="0" w:color="20313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3136" w:themeColor="accent1"/>
          <w:left w:val="single" w:sz="8" w:space="0" w:color="203136" w:themeColor="accent1"/>
          <w:bottom w:val="single" w:sz="8" w:space="0" w:color="203136" w:themeColor="accent1"/>
          <w:right w:val="single" w:sz="8" w:space="0" w:color="203136" w:themeColor="accent1"/>
        </w:tcBorders>
      </w:tcPr>
    </w:tblStylePr>
    <w:tblStylePr w:type="band1Vert">
      <w:tblPr/>
      <w:tcPr>
        <w:tcBorders>
          <w:top w:val="single" w:sz="8" w:space="0" w:color="203136" w:themeColor="accent1"/>
          <w:left w:val="single" w:sz="8" w:space="0" w:color="203136" w:themeColor="accent1"/>
          <w:bottom w:val="single" w:sz="8" w:space="0" w:color="203136" w:themeColor="accent1"/>
          <w:right w:val="single" w:sz="8" w:space="0" w:color="203136" w:themeColor="accent1"/>
        </w:tcBorders>
        <w:shd w:val="clear" w:color="auto" w:fill="BDD1D8" w:themeFill="accent1" w:themeFillTint="3F"/>
      </w:tcPr>
    </w:tblStylePr>
    <w:tblStylePr w:type="band1Horz">
      <w:tblPr/>
      <w:tcPr>
        <w:tcBorders>
          <w:top w:val="single" w:sz="8" w:space="0" w:color="203136" w:themeColor="accent1"/>
          <w:left w:val="single" w:sz="8" w:space="0" w:color="203136" w:themeColor="accent1"/>
          <w:bottom w:val="single" w:sz="8" w:space="0" w:color="203136" w:themeColor="accent1"/>
          <w:right w:val="single" w:sz="8" w:space="0" w:color="203136" w:themeColor="accent1"/>
          <w:insideV w:val="single" w:sz="8" w:space="0" w:color="203136" w:themeColor="accent1"/>
        </w:tcBorders>
        <w:shd w:val="clear" w:color="auto" w:fill="BDD1D8" w:themeFill="accent1" w:themeFillTint="3F"/>
      </w:tcPr>
    </w:tblStylePr>
    <w:tblStylePr w:type="band2Horz">
      <w:tblPr/>
      <w:tcPr>
        <w:tcBorders>
          <w:top w:val="single" w:sz="8" w:space="0" w:color="203136" w:themeColor="accent1"/>
          <w:left w:val="single" w:sz="8" w:space="0" w:color="203136" w:themeColor="accent1"/>
          <w:bottom w:val="single" w:sz="8" w:space="0" w:color="203136" w:themeColor="accent1"/>
          <w:right w:val="single" w:sz="8" w:space="0" w:color="203136" w:themeColor="accent1"/>
          <w:insideV w:val="single" w:sz="8" w:space="0" w:color="203136" w:themeColor="accent1"/>
        </w:tcBorders>
      </w:tcPr>
    </w:tblStylePr>
  </w:style>
  <w:style w:type="table" w:styleId="LightGrid-Accent2">
    <w:name w:val="Light Grid Accent 2"/>
    <w:basedOn w:val="TableNormal"/>
    <w:uiPriority w:val="62"/>
    <w:rsid w:val="00DD0835"/>
    <w:pPr>
      <w:spacing w:line="240" w:lineRule="atLeast"/>
    </w:pPr>
    <w:rPr>
      <w:rFonts w:eastAsia="MS Mincho"/>
      <w:color w:val="000000" w:themeColor="text2"/>
      <w:sz w:val="18"/>
      <w:szCs w:val="18"/>
    </w:rPr>
    <w:tblPr>
      <w:tblStyleRowBandSize w:val="1"/>
      <w:tblStyleColBandSize w:val="1"/>
      <w:tblBorders>
        <w:top w:val="single" w:sz="8" w:space="0" w:color="DDFC70" w:themeColor="accent2"/>
        <w:left w:val="single" w:sz="8" w:space="0" w:color="DDFC70" w:themeColor="accent2"/>
        <w:bottom w:val="single" w:sz="8" w:space="0" w:color="DDFC70" w:themeColor="accent2"/>
        <w:right w:val="single" w:sz="8" w:space="0" w:color="DDFC70" w:themeColor="accent2"/>
        <w:insideH w:val="single" w:sz="8" w:space="0" w:color="DDFC70" w:themeColor="accent2"/>
        <w:insideV w:val="single" w:sz="8" w:space="0" w:color="DDFC7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DFC70" w:themeColor="accent2"/>
          <w:left w:val="single" w:sz="8" w:space="0" w:color="DDFC70" w:themeColor="accent2"/>
          <w:bottom w:val="single" w:sz="18" w:space="0" w:color="DDFC70" w:themeColor="accent2"/>
          <w:right w:val="single" w:sz="8" w:space="0" w:color="DDFC70" w:themeColor="accent2"/>
          <w:insideH w:val="nil"/>
          <w:insideV w:val="single" w:sz="8" w:space="0" w:color="DDFC7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FC70" w:themeColor="accent2"/>
          <w:left w:val="single" w:sz="8" w:space="0" w:color="DDFC70" w:themeColor="accent2"/>
          <w:bottom w:val="single" w:sz="8" w:space="0" w:color="DDFC70" w:themeColor="accent2"/>
          <w:right w:val="single" w:sz="8" w:space="0" w:color="DDFC70" w:themeColor="accent2"/>
          <w:insideH w:val="nil"/>
          <w:insideV w:val="single" w:sz="8" w:space="0" w:color="DDFC7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FC70" w:themeColor="accent2"/>
          <w:left w:val="single" w:sz="8" w:space="0" w:color="DDFC70" w:themeColor="accent2"/>
          <w:bottom w:val="single" w:sz="8" w:space="0" w:color="DDFC70" w:themeColor="accent2"/>
          <w:right w:val="single" w:sz="8" w:space="0" w:color="DDFC70" w:themeColor="accent2"/>
        </w:tcBorders>
      </w:tcPr>
    </w:tblStylePr>
    <w:tblStylePr w:type="band1Vert">
      <w:tblPr/>
      <w:tcPr>
        <w:tcBorders>
          <w:top w:val="single" w:sz="8" w:space="0" w:color="DDFC70" w:themeColor="accent2"/>
          <w:left w:val="single" w:sz="8" w:space="0" w:color="DDFC70" w:themeColor="accent2"/>
          <w:bottom w:val="single" w:sz="8" w:space="0" w:color="DDFC70" w:themeColor="accent2"/>
          <w:right w:val="single" w:sz="8" w:space="0" w:color="DDFC70" w:themeColor="accent2"/>
        </w:tcBorders>
        <w:shd w:val="clear" w:color="auto" w:fill="F6FEDB" w:themeFill="accent2" w:themeFillTint="3F"/>
      </w:tcPr>
    </w:tblStylePr>
    <w:tblStylePr w:type="band1Horz">
      <w:tblPr/>
      <w:tcPr>
        <w:tcBorders>
          <w:top w:val="single" w:sz="8" w:space="0" w:color="DDFC70" w:themeColor="accent2"/>
          <w:left w:val="single" w:sz="8" w:space="0" w:color="DDFC70" w:themeColor="accent2"/>
          <w:bottom w:val="single" w:sz="8" w:space="0" w:color="DDFC70" w:themeColor="accent2"/>
          <w:right w:val="single" w:sz="8" w:space="0" w:color="DDFC70" w:themeColor="accent2"/>
          <w:insideV w:val="single" w:sz="8" w:space="0" w:color="DDFC70" w:themeColor="accent2"/>
        </w:tcBorders>
        <w:shd w:val="clear" w:color="auto" w:fill="F6FEDB" w:themeFill="accent2" w:themeFillTint="3F"/>
      </w:tcPr>
    </w:tblStylePr>
    <w:tblStylePr w:type="band2Horz">
      <w:tblPr/>
      <w:tcPr>
        <w:tcBorders>
          <w:top w:val="single" w:sz="8" w:space="0" w:color="DDFC70" w:themeColor="accent2"/>
          <w:left w:val="single" w:sz="8" w:space="0" w:color="DDFC70" w:themeColor="accent2"/>
          <w:bottom w:val="single" w:sz="8" w:space="0" w:color="DDFC70" w:themeColor="accent2"/>
          <w:right w:val="single" w:sz="8" w:space="0" w:color="DDFC70" w:themeColor="accent2"/>
          <w:insideV w:val="single" w:sz="8" w:space="0" w:color="DDFC70" w:themeColor="accent2"/>
        </w:tcBorders>
      </w:tcPr>
    </w:tblStylePr>
  </w:style>
  <w:style w:type="table" w:styleId="LightGrid-Accent3">
    <w:name w:val="Light Grid Accent 3"/>
    <w:basedOn w:val="TableNormal"/>
    <w:uiPriority w:val="62"/>
    <w:rsid w:val="00DD0835"/>
    <w:pPr>
      <w:spacing w:line="240" w:lineRule="atLeast"/>
    </w:pPr>
    <w:rPr>
      <w:rFonts w:eastAsia="MS Mincho"/>
      <w:color w:val="000000" w:themeColor="text2"/>
      <w:sz w:val="18"/>
      <w:szCs w:val="18"/>
    </w:rPr>
    <w:tblPr>
      <w:tblStyleRowBandSize w:val="1"/>
      <w:tblStyleColBandSize w:val="1"/>
      <w:tblBorders>
        <w:top w:val="single" w:sz="8" w:space="0" w:color="D5C8B6" w:themeColor="accent3"/>
        <w:left w:val="single" w:sz="8" w:space="0" w:color="D5C8B6" w:themeColor="accent3"/>
        <w:bottom w:val="single" w:sz="8" w:space="0" w:color="D5C8B6" w:themeColor="accent3"/>
        <w:right w:val="single" w:sz="8" w:space="0" w:color="D5C8B6" w:themeColor="accent3"/>
        <w:insideH w:val="single" w:sz="8" w:space="0" w:color="D5C8B6" w:themeColor="accent3"/>
        <w:insideV w:val="single" w:sz="8" w:space="0" w:color="D5C8B6"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5C8B6" w:themeColor="accent3"/>
          <w:left w:val="single" w:sz="8" w:space="0" w:color="D5C8B6" w:themeColor="accent3"/>
          <w:bottom w:val="single" w:sz="18" w:space="0" w:color="D5C8B6" w:themeColor="accent3"/>
          <w:right w:val="single" w:sz="8" w:space="0" w:color="D5C8B6" w:themeColor="accent3"/>
          <w:insideH w:val="nil"/>
          <w:insideV w:val="single" w:sz="8" w:space="0" w:color="D5C8B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C8B6" w:themeColor="accent3"/>
          <w:left w:val="single" w:sz="8" w:space="0" w:color="D5C8B6" w:themeColor="accent3"/>
          <w:bottom w:val="single" w:sz="8" w:space="0" w:color="D5C8B6" w:themeColor="accent3"/>
          <w:right w:val="single" w:sz="8" w:space="0" w:color="D5C8B6" w:themeColor="accent3"/>
          <w:insideH w:val="nil"/>
          <w:insideV w:val="single" w:sz="8" w:space="0" w:color="D5C8B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C8B6" w:themeColor="accent3"/>
          <w:left w:val="single" w:sz="8" w:space="0" w:color="D5C8B6" w:themeColor="accent3"/>
          <w:bottom w:val="single" w:sz="8" w:space="0" w:color="D5C8B6" w:themeColor="accent3"/>
          <w:right w:val="single" w:sz="8" w:space="0" w:color="D5C8B6" w:themeColor="accent3"/>
        </w:tcBorders>
      </w:tcPr>
    </w:tblStylePr>
    <w:tblStylePr w:type="band1Vert">
      <w:tblPr/>
      <w:tcPr>
        <w:tcBorders>
          <w:top w:val="single" w:sz="8" w:space="0" w:color="D5C8B6" w:themeColor="accent3"/>
          <w:left w:val="single" w:sz="8" w:space="0" w:color="D5C8B6" w:themeColor="accent3"/>
          <w:bottom w:val="single" w:sz="8" w:space="0" w:color="D5C8B6" w:themeColor="accent3"/>
          <w:right w:val="single" w:sz="8" w:space="0" w:color="D5C8B6" w:themeColor="accent3"/>
        </w:tcBorders>
        <w:shd w:val="clear" w:color="auto" w:fill="F4F1EC" w:themeFill="accent3" w:themeFillTint="3F"/>
      </w:tcPr>
    </w:tblStylePr>
    <w:tblStylePr w:type="band1Horz">
      <w:tblPr/>
      <w:tcPr>
        <w:tcBorders>
          <w:top w:val="single" w:sz="8" w:space="0" w:color="D5C8B6" w:themeColor="accent3"/>
          <w:left w:val="single" w:sz="8" w:space="0" w:color="D5C8B6" w:themeColor="accent3"/>
          <w:bottom w:val="single" w:sz="8" w:space="0" w:color="D5C8B6" w:themeColor="accent3"/>
          <w:right w:val="single" w:sz="8" w:space="0" w:color="D5C8B6" w:themeColor="accent3"/>
          <w:insideV w:val="single" w:sz="8" w:space="0" w:color="D5C8B6" w:themeColor="accent3"/>
        </w:tcBorders>
        <w:shd w:val="clear" w:color="auto" w:fill="F4F1EC" w:themeFill="accent3" w:themeFillTint="3F"/>
      </w:tcPr>
    </w:tblStylePr>
    <w:tblStylePr w:type="band2Horz">
      <w:tblPr/>
      <w:tcPr>
        <w:tcBorders>
          <w:top w:val="single" w:sz="8" w:space="0" w:color="D5C8B6" w:themeColor="accent3"/>
          <w:left w:val="single" w:sz="8" w:space="0" w:color="D5C8B6" w:themeColor="accent3"/>
          <w:bottom w:val="single" w:sz="8" w:space="0" w:color="D5C8B6" w:themeColor="accent3"/>
          <w:right w:val="single" w:sz="8" w:space="0" w:color="D5C8B6" w:themeColor="accent3"/>
          <w:insideV w:val="single" w:sz="8" w:space="0" w:color="D5C8B6" w:themeColor="accent3"/>
        </w:tcBorders>
      </w:tcPr>
    </w:tblStylePr>
  </w:style>
  <w:style w:type="table" w:styleId="LightGrid-Accent4">
    <w:name w:val="Light Grid Accent 4"/>
    <w:basedOn w:val="TableNormal"/>
    <w:uiPriority w:val="62"/>
    <w:rsid w:val="00DD0835"/>
    <w:pPr>
      <w:spacing w:line="240" w:lineRule="atLeast"/>
    </w:pPr>
    <w:rPr>
      <w:rFonts w:eastAsia="MS Mincho"/>
      <w:color w:val="000000" w:themeColor="text2"/>
      <w:sz w:val="18"/>
      <w:szCs w:val="18"/>
    </w:rPr>
    <w:tblPr>
      <w:tblStyleRowBandSize w:val="1"/>
      <w:tblStyleColBandSize w:val="1"/>
      <w:tblBorders>
        <w:top w:val="single" w:sz="8" w:space="0" w:color="889EA6" w:themeColor="accent4"/>
        <w:left w:val="single" w:sz="8" w:space="0" w:color="889EA6" w:themeColor="accent4"/>
        <w:bottom w:val="single" w:sz="8" w:space="0" w:color="889EA6" w:themeColor="accent4"/>
        <w:right w:val="single" w:sz="8" w:space="0" w:color="889EA6" w:themeColor="accent4"/>
        <w:insideH w:val="single" w:sz="8" w:space="0" w:color="889EA6" w:themeColor="accent4"/>
        <w:insideV w:val="single" w:sz="8" w:space="0" w:color="889EA6"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889EA6" w:themeColor="accent4"/>
          <w:left w:val="single" w:sz="8" w:space="0" w:color="889EA6" w:themeColor="accent4"/>
          <w:bottom w:val="single" w:sz="18" w:space="0" w:color="889EA6" w:themeColor="accent4"/>
          <w:right w:val="single" w:sz="8" w:space="0" w:color="889EA6" w:themeColor="accent4"/>
          <w:insideH w:val="nil"/>
          <w:insideV w:val="single" w:sz="8" w:space="0" w:color="889E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9EA6" w:themeColor="accent4"/>
          <w:left w:val="single" w:sz="8" w:space="0" w:color="889EA6" w:themeColor="accent4"/>
          <w:bottom w:val="single" w:sz="8" w:space="0" w:color="889EA6" w:themeColor="accent4"/>
          <w:right w:val="single" w:sz="8" w:space="0" w:color="889EA6" w:themeColor="accent4"/>
          <w:insideH w:val="nil"/>
          <w:insideV w:val="single" w:sz="8" w:space="0" w:color="889E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9EA6" w:themeColor="accent4"/>
          <w:left w:val="single" w:sz="8" w:space="0" w:color="889EA6" w:themeColor="accent4"/>
          <w:bottom w:val="single" w:sz="8" w:space="0" w:color="889EA6" w:themeColor="accent4"/>
          <w:right w:val="single" w:sz="8" w:space="0" w:color="889EA6" w:themeColor="accent4"/>
        </w:tcBorders>
      </w:tcPr>
    </w:tblStylePr>
    <w:tblStylePr w:type="band1Vert">
      <w:tblPr/>
      <w:tcPr>
        <w:tcBorders>
          <w:top w:val="single" w:sz="8" w:space="0" w:color="889EA6" w:themeColor="accent4"/>
          <w:left w:val="single" w:sz="8" w:space="0" w:color="889EA6" w:themeColor="accent4"/>
          <w:bottom w:val="single" w:sz="8" w:space="0" w:color="889EA6" w:themeColor="accent4"/>
          <w:right w:val="single" w:sz="8" w:space="0" w:color="889EA6" w:themeColor="accent4"/>
        </w:tcBorders>
        <w:shd w:val="clear" w:color="auto" w:fill="E1E6E9" w:themeFill="accent4" w:themeFillTint="3F"/>
      </w:tcPr>
    </w:tblStylePr>
    <w:tblStylePr w:type="band1Horz">
      <w:tblPr/>
      <w:tcPr>
        <w:tcBorders>
          <w:top w:val="single" w:sz="8" w:space="0" w:color="889EA6" w:themeColor="accent4"/>
          <w:left w:val="single" w:sz="8" w:space="0" w:color="889EA6" w:themeColor="accent4"/>
          <w:bottom w:val="single" w:sz="8" w:space="0" w:color="889EA6" w:themeColor="accent4"/>
          <w:right w:val="single" w:sz="8" w:space="0" w:color="889EA6" w:themeColor="accent4"/>
          <w:insideV w:val="single" w:sz="8" w:space="0" w:color="889EA6" w:themeColor="accent4"/>
        </w:tcBorders>
        <w:shd w:val="clear" w:color="auto" w:fill="E1E6E9" w:themeFill="accent4" w:themeFillTint="3F"/>
      </w:tcPr>
    </w:tblStylePr>
    <w:tblStylePr w:type="band2Horz">
      <w:tblPr/>
      <w:tcPr>
        <w:tcBorders>
          <w:top w:val="single" w:sz="8" w:space="0" w:color="889EA6" w:themeColor="accent4"/>
          <w:left w:val="single" w:sz="8" w:space="0" w:color="889EA6" w:themeColor="accent4"/>
          <w:bottom w:val="single" w:sz="8" w:space="0" w:color="889EA6" w:themeColor="accent4"/>
          <w:right w:val="single" w:sz="8" w:space="0" w:color="889EA6" w:themeColor="accent4"/>
          <w:insideV w:val="single" w:sz="8" w:space="0" w:color="889EA6" w:themeColor="accent4"/>
        </w:tcBorders>
      </w:tcPr>
    </w:tblStylePr>
  </w:style>
  <w:style w:type="table" w:styleId="LightGrid-Accent5">
    <w:name w:val="Light Grid Accent 5"/>
    <w:basedOn w:val="TableNormal"/>
    <w:uiPriority w:val="62"/>
    <w:rsid w:val="00DD0835"/>
    <w:pPr>
      <w:spacing w:line="240" w:lineRule="atLeast"/>
    </w:pPr>
    <w:rPr>
      <w:rFonts w:eastAsia="MS Mincho"/>
      <w:color w:val="000000" w:themeColor="text2"/>
      <w:sz w:val="18"/>
      <w:szCs w:val="18"/>
    </w:rPr>
    <w:tblPr>
      <w:tblStyleRowBandSize w:val="1"/>
      <w:tblStyleColBandSize w:val="1"/>
      <w:tblBorders>
        <w:top w:val="single" w:sz="8" w:space="0" w:color="B8D0EC" w:themeColor="accent5"/>
        <w:left w:val="single" w:sz="8" w:space="0" w:color="B8D0EC" w:themeColor="accent5"/>
        <w:bottom w:val="single" w:sz="8" w:space="0" w:color="B8D0EC" w:themeColor="accent5"/>
        <w:right w:val="single" w:sz="8" w:space="0" w:color="B8D0EC" w:themeColor="accent5"/>
        <w:insideH w:val="single" w:sz="8" w:space="0" w:color="B8D0EC" w:themeColor="accent5"/>
        <w:insideV w:val="single" w:sz="8" w:space="0" w:color="B8D0EC"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B8D0EC" w:themeColor="accent5"/>
          <w:left w:val="single" w:sz="8" w:space="0" w:color="B8D0EC" w:themeColor="accent5"/>
          <w:bottom w:val="single" w:sz="18" w:space="0" w:color="B8D0EC" w:themeColor="accent5"/>
          <w:right w:val="single" w:sz="8" w:space="0" w:color="B8D0EC" w:themeColor="accent5"/>
          <w:insideH w:val="nil"/>
          <w:insideV w:val="single" w:sz="8" w:space="0" w:color="B8D0E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D0EC" w:themeColor="accent5"/>
          <w:left w:val="single" w:sz="8" w:space="0" w:color="B8D0EC" w:themeColor="accent5"/>
          <w:bottom w:val="single" w:sz="8" w:space="0" w:color="B8D0EC" w:themeColor="accent5"/>
          <w:right w:val="single" w:sz="8" w:space="0" w:color="B8D0EC" w:themeColor="accent5"/>
          <w:insideH w:val="nil"/>
          <w:insideV w:val="single" w:sz="8" w:space="0" w:color="B8D0E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D0EC" w:themeColor="accent5"/>
          <w:left w:val="single" w:sz="8" w:space="0" w:color="B8D0EC" w:themeColor="accent5"/>
          <w:bottom w:val="single" w:sz="8" w:space="0" w:color="B8D0EC" w:themeColor="accent5"/>
          <w:right w:val="single" w:sz="8" w:space="0" w:color="B8D0EC" w:themeColor="accent5"/>
        </w:tcBorders>
      </w:tcPr>
    </w:tblStylePr>
    <w:tblStylePr w:type="band1Vert">
      <w:tblPr/>
      <w:tcPr>
        <w:tcBorders>
          <w:top w:val="single" w:sz="8" w:space="0" w:color="B8D0EC" w:themeColor="accent5"/>
          <w:left w:val="single" w:sz="8" w:space="0" w:color="B8D0EC" w:themeColor="accent5"/>
          <w:bottom w:val="single" w:sz="8" w:space="0" w:color="B8D0EC" w:themeColor="accent5"/>
          <w:right w:val="single" w:sz="8" w:space="0" w:color="B8D0EC" w:themeColor="accent5"/>
        </w:tcBorders>
        <w:shd w:val="clear" w:color="auto" w:fill="EDF3FA" w:themeFill="accent5" w:themeFillTint="3F"/>
      </w:tcPr>
    </w:tblStylePr>
    <w:tblStylePr w:type="band1Horz">
      <w:tblPr/>
      <w:tcPr>
        <w:tcBorders>
          <w:top w:val="single" w:sz="8" w:space="0" w:color="B8D0EC" w:themeColor="accent5"/>
          <w:left w:val="single" w:sz="8" w:space="0" w:color="B8D0EC" w:themeColor="accent5"/>
          <w:bottom w:val="single" w:sz="8" w:space="0" w:color="B8D0EC" w:themeColor="accent5"/>
          <w:right w:val="single" w:sz="8" w:space="0" w:color="B8D0EC" w:themeColor="accent5"/>
          <w:insideV w:val="single" w:sz="8" w:space="0" w:color="B8D0EC" w:themeColor="accent5"/>
        </w:tcBorders>
        <w:shd w:val="clear" w:color="auto" w:fill="EDF3FA" w:themeFill="accent5" w:themeFillTint="3F"/>
      </w:tcPr>
    </w:tblStylePr>
    <w:tblStylePr w:type="band2Horz">
      <w:tblPr/>
      <w:tcPr>
        <w:tcBorders>
          <w:top w:val="single" w:sz="8" w:space="0" w:color="B8D0EC" w:themeColor="accent5"/>
          <w:left w:val="single" w:sz="8" w:space="0" w:color="B8D0EC" w:themeColor="accent5"/>
          <w:bottom w:val="single" w:sz="8" w:space="0" w:color="B8D0EC" w:themeColor="accent5"/>
          <w:right w:val="single" w:sz="8" w:space="0" w:color="B8D0EC" w:themeColor="accent5"/>
          <w:insideV w:val="single" w:sz="8" w:space="0" w:color="B8D0EC" w:themeColor="accent5"/>
        </w:tcBorders>
      </w:tcPr>
    </w:tblStylePr>
  </w:style>
  <w:style w:type="table" w:styleId="LightGrid-Accent6">
    <w:name w:val="Light Grid Accent 6"/>
    <w:basedOn w:val="TableNormal"/>
    <w:uiPriority w:val="62"/>
    <w:rsid w:val="00DD0835"/>
    <w:pPr>
      <w:spacing w:line="240" w:lineRule="atLeast"/>
    </w:pPr>
    <w:rPr>
      <w:rFonts w:eastAsia="MS Mincho"/>
      <w:color w:val="000000" w:themeColor="text2"/>
      <w:sz w:val="18"/>
      <w:szCs w:val="18"/>
    </w:rPr>
    <w:tblPr>
      <w:tblStyleRowBandSize w:val="1"/>
      <w:tblStyleColBandSize w:val="1"/>
      <w:tblBorders>
        <w:top w:val="single" w:sz="8" w:space="0" w:color="C4EC9A" w:themeColor="accent6"/>
        <w:left w:val="single" w:sz="8" w:space="0" w:color="C4EC9A" w:themeColor="accent6"/>
        <w:bottom w:val="single" w:sz="8" w:space="0" w:color="C4EC9A" w:themeColor="accent6"/>
        <w:right w:val="single" w:sz="8" w:space="0" w:color="C4EC9A" w:themeColor="accent6"/>
        <w:insideH w:val="single" w:sz="8" w:space="0" w:color="C4EC9A" w:themeColor="accent6"/>
        <w:insideV w:val="single" w:sz="8" w:space="0" w:color="C4EC9A"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C4EC9A" w:themeColor="accent6"/>
          <w:left w:val="single" w:sz="8" w:space="0" w:color="C4EC9A" w:themeColor="accent6"/>
          <w:bottom w:val="single" w:sz="18" w:space="0" w:color="C4EC9A" w:themeColor="accent6"/>
          <w:right w:val="single" w:sz="8" w:space="0" w:color="C4EC9A" w:themeColor="accent6"/>
          <w:insideH w:val="nil"/>
          <w:insideV w:val="single" w:sz="8" w:space="0" w:color="C4EC9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EC9A" w:themeColor="accent6"/>
          <w:left w:val="single" w:sz="8" w:space="0" w:color="C4EC9A" w:themeColor="accent6"/>
          <w:bottom w:val="single" w:sz="8" w:space="0" w:color="C4EC9A" w:themeColor="accent6"/>
          <w:right w:val="single" w:sz="8" w:space="0" w:color="C4EC9A" w:themeColor="accent6"/>
          <w:insideH w:val="nil"/>
          <w:insideV w:val="single" w:sz="8" w:space="0" w:color="C4EC9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EC9A" w:themeColor="accent6"/>
          <w:left w:val="single" w:sz="8" w:space="0" w:color="C4EC9A" w:themeColor="accent6"/>
          <w:bottom w:val="single" w:sz="8" w:space="0" w:color="C4EC9A" w:themeColor="accent6"/>
          <w:right w:val="single" w:sz="8" w:space="0" w:color="C4EC9A" w:themeColor="accent6"/>
        </w:tcBorders>
      </w:tcPr>
    </w:tblStylePr>
    <w:tblStylePr w:type="band1Vert">
      <w:tblPr/>
      <w:tcPr>
        <w:tcBorders>
          <w:top w:val="single" w:sz="8" w:space="0" w:color="C4EC9A" w:themeColor="accent6"/>
          <w:left w:val="single" w:sz="8" w:space="0" w:color="C4EC9A" w:themeColor="accent6"/>
          <w:bottom w:val="single" w:sz="8" w:space="0" w:color="C4EC9A" w:themeColor="accent6"/>
          <w:right w:val="single" w:sz="8" w:space="0" w:color="C4EC9A" w:themeColor="accent6"/>
        </w:tcBorders>
        <w:shd w:val="clear" w:color="auto" w:fill="F0FAE6" w:themeFill="accent6" w:themeFillTint="3F"/>
      </w:tcPr>
    </w:tblStylePr>
    <w:tblStylePr w:type="band1Horz">
      <w:tblPr/>
      <w:tcPr>
        <w:tcBorders>
          <w:top w:val="single" w:sz="8" w:space="0" w:color="C4EC9A" w:themeColor="accent6"/>
          <w:left w:val="single" w:sz="8" w:space="0" w:color="C4EC9A" w:themeColor="accent6"/>
          <w:bottom w:val="single" w:sz="8" w:space="0" w:color="C4EC9A" w:themeColor="accent6"/>
          <w:right w:val="single" w:sz="8" w:space="0" w:color="C4EC9A" w:themeColor="accent6"/>
          <w:insideV w:val="single" w:sz="8" w:space="0" w:color="C4EC9A" w:themeColor="accent6"/>
        </w:tcBorders>
        <w:shd w:val="clear" w:color="auto" w:fill="F0FAE6" w:themeFill="accent6" w:themeFillTint="3F"/>
      </w:tcPr>
    </w:tblStylePr>
    <w:tblStylePr w:type="band2Horz">
      <w:tblPr/>
      <w:tcPr>
        <w:tcBorders>
          <w:top w:val="single" w:sz="8" w:space="0" w:color="C4EC9A" w:themeColor="accent6"/>
          <w:left w:val="single" w:sz="8" w:space="0" w:color="C4EC9A" w:themeColor="accent6"/>
          <w:bottom w:val="single" w:sz="8" w:space="0" w:color="C4EC9A" w:themeColor="accent6"/>
          <w:right w:val="single" w:sz="8" w:space="0" w:color="C4EC9A" w:themeColor="accent6"/>
          <w:insideV w:val="single" w:sz="8" w:space="0" w:color="C4EC9A" w:themeColor="accent6"/>
        </w:tcBorders>
      </w:tcPr>
    </w:tblStylePr>
  </w:style>
  <w:style w:type="table" w:styleId="LightList">
    <w:name w:val="Light List"/>
    <w:basedOn w:val="TableNormal"/>
    <w:uiPriority w:val="61"/>
    <w:rsid w:val="00DD0835"/>
    <w:pPr>
      <w:spacing w:line="240" w:lineRule="atLeast"/>
    </w:pPr>
    <w:rPr>
      <w:rFonts w:eastAsia="MS Mincho"/>
      <w:color w:val="000000" w:themeColor="text2"/>
      <w:sz w:val="18"/>
      <w:szCs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DD0835"/>
    <w:pPr>
      <w:spacing w:line="240" w:lineRule="atLeast"/>
    </w:pPr>
    <w:rPr>
      <w:rFonts w:eastAsia="MS Mincho"/>
      <w:color w:val="000000" w:themeColor="text2"/>
      <w:sz w:val="18"/>
      <w:szCs w:val="18"/>
    </w:rPr>
    <w:tblPr>
      <w:tblStyleRowBandSize w:val="1"/>
      <w:tblStyleColBandSize w:val="1"/>
      <w:tblBorders>
        <w:top w:val="single" w:sz="8" w:space="0" w:color="203136" w:themeColor="accent1"/>
        <w:left w:val="single" w:sz="8" w:space="0" w:color="203136" w:themeColor="accent1"/>
        <w:bottom w:val="single" w:sz="8" w:space="0" w:color="203136" w:themeColor="accent1"/>
        <w:right w:val="single" w:sz="8" w:space="0" w:color="203136"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203136" w:themeFill="accent1"/>
      </w:tcPr>
    </w:tblStylePr>
    <w:tblStylePr w:type="lastRow">
      <w:pPr>
        <w:spacing w:before="0" w:after="0" w:line="240" w:lineRule="auto"/>
      </w:pPr>
      <w:rPr>
        <w:b/>
        <w:bCs/>
      </w:rPr>
      <w:tblPr/>
      <w:tcPr>
        <w:tcBorders>
          <w:top w:val="double" w:sz="6" w:space="0" w:color="203136" w:themeColor="accent1"/>
          <w:left w:val="single" w:sz="8" w:space="0" w:color="203136" w:themeColor="accent1"/>
          <w:bottom w:val="single" w:sz="8" w:space="0" w:color="203136" w:themeColor="accent1"/>
          <w:right w:val="single" w:sz="8" w:space="0" w:color="203136" w:themeColor="accent1"/>
        </w:tcBorders>
      </w:tcPr>
    </w:tblStylePr>
    <w:tblStylePr w:type="firstCol">
      <w:rPr>
        <w:b/>
        <w:bCs/>
      </w:rPr>
    </w:tblStylePr>
    <w:tblStylePr w:type="lastCol">
      <w:rPr>
        <w:b/>
        <w:bCs/>
      </w:rPr>
    </w:tblStylePr>
    <w:tblStylePr w:type="band1Vert">
      <w:tblPr/>
      <w:tcPr>
        <w:tcBorders>
          <w:top w:val="single" w:sz="8" w:space="0" w:color="203136" w:themeColor="accent1"/>
          <w:left w:val="single" w:sz="8" w:space="0" w:color="203136" w:themeColor="accent1"/>
          <w:bottom w:val="single" w:sz="8" w:space="0" w:color="203136" w:themeColor="accent1"/>
          <w:right w:val="single" w:sz="8" w:space="0" w:color="203136" w:themeColor="accent1"/>
        </w:tcBorders>
      </w:tcPr>
    </w:tblStylePr>
    <w:tblStylePr w:type="band1Horz">
      <w:tblPr/>
      <w:tcPr>
        <w:tcBorders>
          <w:top w:val="single" w:sz="8" w:space="0" w:color="203136" w:themeColor="accent1"/>
          <w:left w:val="single" w:sz="8" w:space="0" w:color="203136" w:themeColor="accent1"/>
          <w:bottom w:val="single" w:sz="8" w:space="0" w:color="203136" w:themeColor="accent1"/>
          <w:right w:val="single" w:sz="8" w:space="0" w:color="203136" w:themeColor="accent1"/>
        </w:tcBorders>
      </w:tcPr>
    </w:tblStylePr>
  </w:style>
  <w:style w:type="table" w:styleId="LightList-Accent2">
    <w:name w:val="Light List Accent 2"/>
    <w:basedOn w:val="TableNormal"/>
    <w:uiPriority w:val="61"/>
    <w:rsid w:val="00DD0835"/>
    <w:pPr>
      <w:spacing w:line="240" w:lineRule="atLeast"/>
    </w:pPr>
    <w:rPr>
      <w:rFonts w:eastAsia="MS Mincho"/>
      <w:color w:val="000000" w:themeColor="text2"/>
      <w:sz w:val="18"/>
      <w:szCs w:val="18"/>
    </w:rPr>
    <w:tblPr>
      <w:tblStyleRowBandSize w:val="1"/>
      <w:tblStyleColBandSize w:val="1"/>
      <w:tblBorders>
        <w:top w:val="single" w:sz="8" w:space="0" w:color="DDFC70" w:themeColor="accent2"/>
        <w:left w:val="single" w:sz="8" w:space="0" w:color="DDFC70" w:themeColor="accent2"/>
        <w:bottom w:val="single" w:sz="8" w:space="0" w:color="DDFC70" w:themeColor="accent2"/>
        <w:right w:val="single" w:sz="8" w:space="0" w:color="DDFC7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DFC70" w:themeFill="accent2"/>
      </w:tcPr>
    </w:tblStylePr>
    <w:tblStylePr w:type="lastRow">
      <w:pPr>
        <w:spacing w:before="0" w:after="0" w:line="240" w:lineRule="auto"/>
      </w:pPr>
      <w:rPr>
        <w:b/>
        <w:bCs/>
      </w:rPr>
      <w:tblPr/>
      <w:tcPr>
        <w:tcBorders>
          <w:top w:val="double" w:sz="6" w:space="0" w:color="DDFC70" w:themeColor="accent2"/>
          <w:left w:val="single" w:sz="8" w:space="0" w:color="DDFC70" w:themeColor="accent2"/>
          <w:bottom w:val="single" w:sz="8" w:space="0" w:color="DDFC70" w:themeColor="accent2"/>
          <w:right w:val="single" w:sz="8" w:space="0" w:color="DDFC70" w:themeColor="accent2"/>
        </w:tcBorders>
      </w:tcPr>
    </w:tblStylePr>
    <w:tblStylePr w:type="firstCol">
      <w:rPr>
        <w:b/>
        <w:bCs/>
      </w:rPr>
    </w:tblStylePr>
    <w:tblStylePr w:type="lastCol">
      <w:rPr>
        <w:b/>
        <w:bCs/>
      </w:rPr>
    </w:tblStylePr>
    <w:tblStylePr w:type="band1Vert">
      <w:tblPr/>
      <w:tcPr>
        <w:tcBorders>
          <w:top w:val="single" w:sz="8" w:space="0" w:color="DDFC70" w:themeColor="accent2"/>
          <w:left w:val="single" w:sz="8" w:space="0" w:color="DDFC70" w:themeColor="accent2"/>
          <w:bottom w:val="single" w:sz="8" w:space="0" w:color="DDFC70" w:themeColor="accent2"/>
          <w:right w:val="single" w:sz="8" w:space="0" w:color="DDFC70" w:themeColor="accent2"/>
        </w:tcBorders>
      </w:tcPr>
    </w:tblStylePr>
    <w:tblStylePr w:type="band1Horz">
      <w:tblPr/>
      <w:tcPr>
        <w:tcBorders>
          <w:top w:val="single" w:sz="8" w:space="0" w:color="DDFC70" w:themeColor="accent2"/>
          <w:left w:val="single" w:sz="8" w:space="0" w:color="DDFC70" w:themeColor="accent2"/>
          <w:bottom w:val="single" w:sz="8" w:space="0" w:color="DDFC70" w:themeColor="accent2"/>
          <w:right w:val="single" w:sz="8" w:space="0" w:color="DDFC70" w:themeColor="accent2"/>
        </w:tcBorders>
      </w:tcPr>
    </w:tblStylePr>
  </w:style>
  <w:style w:type="table" w:styleId="LightList-Accent3">
    <w:name w:val="Light List Accent 3"/>
    <w:basedOn w:val="TableNormal"/>
    <w:uiPriority w:val="61"/>
    <w:rsid w:val="00DD0835"/>
    <w:pPr>
      <w:spacing w:line="240" w:lineRule="atLeast"/>
    </w:pPr>
    <w:rPr>
      <w:rFonts w:eastAsia="MS Mincho"/>
      <w:color w:val="000000" w:themeColor="text2"/>
      <w:sz w:val="18"/>
      <w:szCs w:val="18"/>
    </w:rPr>
    <w:tblPr>
      <w:tblStyleRowBandSize w:val="1"/>
      <w:tblStyleColBandSize w:val="1"/>
      <w:tblBorders>
        <w:top w:val="single" w:sz="8" w:space="0" w:color="D5C8B6" w:themeColor="accent3"/>
        <w:left w:val="single" w:sz="8" w:space="0" w:color="D5C8B6" w:themeColor="accent3"/>
        <w:bottom w:val="single" w:sz="8" w:space="0" w:color="D5C8B6" w:themeColor="accent3"/>
        <w:right w:val="single" w:sz="8" w:space="0" w:color="D5C8B6"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5C8B6" w:themeFill="accent3"/>
      </w:tcPr>
    </w:tblStylePr>
    <w:tblStylePr w:type="lastRow">
      <w:pPr>
        <w:spacing w:before="0" w:after="0" w:line="240" w:lineRule="auto"/>
      </w:pPr>
      <w:rPr>
        <w:b/>
        <w:bCs/>
      </w:rPr>
      <w:tblPr/>
      <w:tcPr>
        <w:tcBorders>
          <w:top w:val="double" w:sz="6" w:space="0" w:color="D5C8B6" w:themeColor="accent3"/>
          <w:left w:val="single" w:sz="8" w:space="0" w:color="D5C8B6" w:themeColor="accent3"/>
          <w:bottom w:val="single" w:sz="8" w:space="0" w:color="D5C8B6" w:themeColor="accent3"/>
          <w:right w:val="single" w:sz="8" w:space="0" w:color="D5C8B6" w:themeColor="accent3"/>
        </w:tcBorders>
      </w:tcPr>
    </w:tblStylePr>
    <w:tblStylePr w:type="firstCol">
      <w:rPr>
        <w:b/>
        <w:bCs/>
      </w:rPr>
    </w:tblStylePr>
    <w:tblStylePr w:type="lastCol">
      <w:rPr>
        <w:b/>
        <w:bCs/>
      </w:rPr>
    </w:tblStylePr>
    <w:tblStylePr w:type="band1Vert">
      <w:tblPr/>
      <w:tcPr>
        <w:tcBorders>
          <w:top w:val="single" w:sz="8" w:space="0" w:color="D5C8B6" w:themeColor="accent3"/>
          <w:left w:val="single" w:sz="8" w:space="0" w:color="D5C8B6" w:themeColor="accent3"/>
          <w:bottom w:val="single" w:sz="8" w:space="0" w:color="D5C8B6" w:themeColor="accent3"/>
          <w:right w:val="single" w:sz="8" w:space="0" w:color="D5C8B6" w:themeColor="accent3"/>
        </w:tcBorders>
      </w:tcPr>
    </w:tblStylePr>
    <w:tblStylePr w:type="band1Horz">
      <w:tblPr/>
      <w:tcPr>
        <w:tcBorders>
          <w:top w:val="single" w:sz="8" w:space="0" w:color="D5C8B6" w:themeColor="accent3"/>
          <w:left w:val="single" w:sz="8" w:space="0" w:color="D5C8B6" w:themeColor="accent3"/>
          <w:bottom w:val="single" w:sz="8" w:space="0" w:color="D5C8B6" w:themeColor="accent3"/>
          <w:right w:val="single" w:sz="8" w:space="0" w:color="D5C8B6" w:themeColor="accent3"/>
        </w:tcBorders>
      </w:tcPr>
    </w:tblStylePr>
  </w:style>
  <w:style w:type="table" w:styleId="LightList-Accent4">
    <w:name w:val="Light List Accent 4"/>
    <w:basedOn w:val="TableNormal"/>
    <w:uiPriority w:val="61"/>
    <w:rsid w:val="00DD0835"/>
    <w:pPr>
      <w:spacing w:line="240" w:lineRule="atLeast"/>
    </w:pPr>
    <w:rPr>
      <w:rFonts w:eastAsia="MS Mincho"/>
      <w:color w:val="000000" w:themeColor="text2"/>
      <w:sz w:val="18"/>
      <w:szCs w:val="18"/>
    </w:rPr>
    <w:tblPr>
      <w:tblStyleRowBandSize w:val="1"/>
      <w:tblStyleColBandSize w:val="1"/>
      <w:tblBorders>
        <w:top w:val="single" w:sz="8" w:space="0" w:color="889EA6" w:themeColor="accent4"/>
        <w:left w:val="single" w:sz="8" w:space="0" w:color="889EA6" w:themeColor="accent4"/>
        <w:bottom w:val="single" w:sz="8" w:space="0" w:color="889EA6" w:themeColor="accent4"/>
        <w:right w:val="single" w:sz="8" w:space="0" w:color="889EA6"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889EA6" w:themeFill="accent4"/>
      </w:tcPr>
    </w:tblStylePr>
    <w:tblStylePr w:type="lastRow">
      <w:pPr>
        <w:spacing w:before="0" w:after="0" w:line="240" w:lineRule="auto"/>
      </w:pPr>
      <w:rPr>
        <w:b/>
        <w:bCs/>
      </w:rPr>
      <w:tblPr/>
      <w:tcPr>
        <w:tcBorders>
          <w:top w:val="double" w:sz="6" w:space="0" w:color="889EA6" w:themeColor="accent4"/>
          <w:left w:val="single" w:sz="8" w:space="0" w:color="889EA6" w:themeColor="accent4"/>
          <w:bottom w:val="single" w:sz="8" w:space="0" w:color="889EA6" w:themeColor="accent4"/>
          <w:right w:val="single" w:sz="8" w:space="0" w:color="889EA6" w:themeColor="accent4"/>
        </w:tcBorders>
      </w:tcPr>
    </w:tblStylePr>
    <w:tblStylePr w:type="firstCol">
      <w:rPr>
        <w:b/>
        <w:bCs/>
      </w:rPr>
    </w:tblStylePr>
    <w:tblStylePr w:type="lastCol">
      <w:rPr>
        <w:b/>
        <w:bCs/>
      </w:rPr>
    </w:tblStylePr>
    <w:tblStylePr w:type="band1Vert">
      <w:tblPr/>
      <w:tcPr>
        <w:tcBorders>
          <w:top w:val="single" w:sz="8" w:space="0" w:color="889EA6" w:themeColor="accent4"/>
          <w:left w:val="single" w:sz="8" w:space="0" w:color="889EA6" w:themeColor="accent4"/>
          <w:bottom w:val="single" w:sz="8" w:space="0" w:color="889EA6" w:themeColor="accent4"/>
          <w:right w:val="single" w:sz="8" w:space="0" w:color="889EA6" w:themeColor="accent4"/>
        </w:tcBorders>
      </w:tcPr>
    </w:tblStylePr>
    <w:tblStylePr w:type="band1Horz">
      <w:tblPr/>
      <w:tcPr>
        <w:tcBorders>
          <w:top w:val="single" w:sz="8" w:space="0" w:color="889EA6" w:themeColor="accent4"/>
          <w:left w:val="single" w:sz="8" w:space="0" w:color="889EA6" w:themeColor="accent4"/>
          <w:bottom w:val="single" w:sz="8" w:space="0" w:color="889EA6" w:themeColor="accent4"/>
          <w:right w:val="single" w:sz="8" w:space="0" w:color="889EA6" w:themeColor="accent4"/>
        </w:tcBorders>
      </w:tcPr>
    </w:tblStylePr>
  </w:style>
  <w:style w:type="table" w:styleId="LightList-Accent5">
    <w:name w:val="Light List Accent 5"/>
    <w:basedOn w:val="TableNormal"/>
    <w:uiPriority w:val="61"/>
    <w:rsid w:val="00DD0835"/>
    <w:pPr>
      <w:spacing w:line="240" w:lineRule="atLeast"/>
    </w:pPr>
    <w:rPr>
      <w:rFonts w:eastAsia="MS Mincho"/>
      <w:color w:val="000000" w:themeColor="text2"/>
      <w:sz w:val="18"/>
      <w:szCs w:val="18"/>
    </w:rPr>
    <w:tblPr>
      <w:tblStyleRowBandSize w:val="1"/>
      <w:tblStyleColBandSize w:val="1"/>
      <w:tblBorders>
        <w:top w:val="single" w:sz="8" w:space="0" w:color="B8D0EC" w:themeColor="accent5"/>
        <w:left w:val="single" w:sz="8" w:space="0" w:color="B8D0EC" w:themeColor="accent5"/>
        <w:bottom w:val="single" w:sz="8" w:space="0" w:color="B8D0EC" w:themeColor="accent5"/>
        <w:right w:val="single" w:sz="8" w:space="0" w:color="B8D0EC"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B8D0EC" w:themeFill="accent5"/>
      </w:tcPr>
    </w:tblStylePr>
    <w:tblStylePr w:type="lastRow">
      <w:pPr>
        <w:spacing w:before="0" w:after="0" w:line="240" w:lineRule="auto"/>
      </w:pPr>
      <w:rPr>
        <w:b/>
        <w:bCs/>
      </w:rPr>
      <w:tblPr/>
      <w:tcPr>
        <w:tcBorders>
          <w:top w:val="double" w:sz="6" w:space="0" w:color="B8D0EC" w:themeColor="accent5"/>
          <w:left w:val="single" w:sz="8" w:space="0" w:color="B8D0EC" w:themeColor="accent5"/>
          <w:bottom w:val="single" w:sz="8" w:space="0" w:color="B8D0EC" w:themeColor="accent5"/>
          <w:right w:val="single" w:sz="8" w:space="0" w:color="B8D0EC" w:themeColor="accent5"/>
        </w:tcBorders>
      </w:tcPr>
    </w:tblStylePr>
    <w:tblStylePr w:type="firstCol">
      <w:rPr>
        <w:b/>
        <w:bCs/>
      </w:rPr>
    </w:tblStylePr>
    <w:tblStylePr w:type="lastCol">
      <w:rPr>
        <w:b/>
        <w:bCs/>
      </w:rPr>
    </w:tblStylePr>
    <w:tblStylePr w:type="band1Vert">
      <w:tblPr/>
      <w:tcPr>
        <w:tcBorders>
          <w:top w:val="single" w:sz="8" w:space="0" w:color="B8D0EC" w:themeColor="accent5"/>
          <w:left w:val="single" w:sz="8" w:space="0" w:color="B8D0EC" w:themeColor="accent5"/>
          <w:bottom w:val="single" w:sz="8" w:space="0" w:color="B8D0EC" w:themeColor="accent5"/>
          <w:right w:val="single" w:sz="8" w:space="0" w:color="B8D0EC" w:themeColor="accent5"/>
        </w:tcBorders>
      </w:tcPr>
    </w:tblStylePr>
    <w:tblStylePr w:type="band1Horz">
      <w:tblPr/>
      <w:tcPr>
        <w:tcBorders>
          <w:top w:val="single" w:sz="8" w:space="0" w:color="B8D0EC" w:themeColor="accent5"/>
          <w:left w:val="single" w:sz="8" w:space="0" w:color="B8D0EC" w:themeColor="accent5"/>
          <w:bottom w:val="single" w:sz="8" w:space="0" w:color="B8D0EC" w:themeColor="accent5"/>
          <w:right w:val="single" w:sz="8" w:space="0" w:color="B8D0EC" w:themeColor="accent5"/>
        </w:tcBorders>
      </w:tcPr>
    </w:tblStylePr>
  </w:style>
  <w:style w:type="table" w:styleId="LightList-Accent6">
    <w:name w:val="Light List Accent 6"/>
    <w:basedOn w:val="TableNormal"/>
    <w:uiPriority w:val="61"/>
    <w:rsid w:val="00DD0835"/>
    <w:pPr>
      <w:spacing w:line="240" w:lineRule="atLeast"/>
    </w:pPr>
    <w:rPr>
      <w:rFonts w:eastAsia="MS Mincho"/>
      <w:color w:val="000000" w:themeColor="text2"/>
      <w:sz w:val="18"/>
      <w:szCs w:val="18"/>
    </w:rPr>
    <w:tblPr>
      <w:tblStyleRowBandSize w:val="1"/>
      <w:tblStyleColBandSize w:val="1"/>
      <w:tblBorders>
        <w:top w:val="single" w:sz="8" w:space="0" w:color="C4EC9A" w:themeColor="accent6"/>
        <w:left w:val="single" w:sz="8" w:space="0" w:color="C4EC9A" w:themeColor="accent6"/>
        <w:bottom w:val="single" w:sz="8" w:space="0" w:color="C4EC9A" w:themeColor="accent6"/>
        <w:right w:val="single" w:sz="8" w:space="0" w:color="C4EC9A"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C4EC9A" w:themeFill="accent6"/>
      </w:tcPr>
    </w:tblStylePr>
    <w:tblStylePr w:type="lastRow">
      <w:pPr>
        <w:spacing w:before="0" w:after="0" w:line="240" w:lineRule="auto"/>
      </w:pPr>
      <w:rPr>
        <w:b/>
        <w:bCs/>
      </w:rPr>
      <w:tblPr/>
      <w:tcPr>
        <w:tcBorders>
          <w:top w:val="double" w:sz="6" w:space="0" w:color="C4EC9A" w:themeColor="accent6"/>
          <w:left w:val="single" w:sz="8" w:space="0" w:color="C4EC9A" w:themeColor="accent6"/>
          <w:bottom w:val="single" w:sz="8" w:space="0" w:color="C4EC9A" w:themeColor="accent6"/>
          <w:right w:val="single" w:sz="8" w:space="0" w:color="C4EC9A" w:themeColor="accent6"/>
        </w:tcBorders>
      </w:tcPr>
    </w:tblStylePr>
    <w:tblStylePr w:type="firstCol">
      <w:rPr>
        <w:b/>
        <w:bCs/>
      </w:rPr>
    </w:tblStylePr>
    <w:tblStylePr w:type="lastCol">
      <w:rPr>
        <w:b/>
        <w:bCs/>
      </w:rPr>
    </w:tblStylePr>
    <w:tblStylePr w:type="band1Vert">
      <w:tblPr/>
      <w:tcPr>
        <w:tcBorders>
          <w:top w:val="single" w:sz="8" w:space="0" w:color="C4EC9A" w:themeColor="accent6"/>
          <w:left w:val="single" w:sz="8" w:space="0" w:color="C4EC9A" w:themeColor="accent6"/>
          <w:bottom w:val="single" w:sz="8" w:space="0" w:color="C4EC9A" w:themeColor="accent6"/>
          <w:right w:val="single" w:sz="8" w:space="0" w:color="C4EC9A" w:themeColor="accent6"/>
        </w:tcBorders>
      </w:tcPr>
    </w:tblStylePr>
    <w:tblStylePr w:type="band1Horz">
      <w:tblPr/>
      <w:tcPr>
        <w:tcBorders>
          <w:top w:val="single" w:sz="8" w:space="0" w:color="C4EC9A" w:themeColor="accent6"/>
          <w:left w:val="single" w:sz="8" w:space="0" w:color="C4EC9A" w:themeColor="accent6"/>
          <w:bottom w:val="single" w:sz="8" w:space="0" w:color="C4EC9A" w:themeColor="accent6"/>
          <w:right w:val="single" w:sz="8" w:space="0" w:color="C4EC9A" w:themeColor="accent6"/>
        </w:tcBorders>
      </w:tcPr>
    </w:tblStylePr>
  </w:style>
  <w:style w:type="table" w:styleId="LightShading">
    <w:name w:val="Light Shading"/>
    <w:basedOn w:val="TableNormal"/>
    <w:uiPriority w:val="60"/>
    <w:rsid w:val="00DD0835"/>
    <w:pPr>
      <w:spacing w:line="240" w:lineRule="atLeast"/>
    </w:pPr>
    <w:rPr>
      <w:rFonts w:eastAsia="MS Mincho"/>
      <w:color w:val="000000" w:themeColor="text1" w:themeShade="BF"/>
      <w:sz w:val="18"/>
      <w:szCs w:val="18"/>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D0835"/>
    <w:pPr>
      <w:spacing w:line="240" w:lineRule="atLeast"/>
    </w:pPr>
    <w:rPr>
      <w:rFonts w:eastAsia="MS Mincho"/>
      <w:color w:val="182428" w:themeColor="accent1" w:themeShade="BF"/>
      <w:sz w:val="18"/>
      <w:szCs w:val="18"/>
    </w:rPr>
    <w:tblPr>
      <w:tblStyleRowBandSize w:val="1"/>
      <w:tblStyleColBandSize w:val="1"/>
      <w:tblBorders>
        <w:top w:val="single" w:sz="8" w:space="0" w:color="203136" w:themeColor="accent1"/>
        <w:bottom w:val="single" w:sz="8" w:space="0" w:color="203136"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203136" w:themeColor="accent1"/>
          <w:left w:val="nil"/>
          <w:bottom w:val="single" w:sz="8" w:space="0" w:color="203136" w:themeColor="accent1"/>
          <w:right w:val="nil"/>
          <w:insideH w:val="nil"/>
          <w:insideV w:val="nil"/>
        </w:tcBorders>
      </w:tcPr>
    </w:tblStylePr>
    <w:tblStylePr w:type="lastRow">
      <w:pPr>
        <w:spacing w:before="0" w:after="0" w:line="240" w:lineRule="auto"/>
      </w:pPr>
      <w:rPr>
        <w:b/>
        <w:bCs/>
      </w:rPr>
      <w:tblPr/>
      <w:tcPr>
        <w:tcBorders>
          <w:top w:val="single" w:sz="8" w:space="0" w:color="203136" w:themeColor="accent1"/>
          <w:left w:val="nil"/>
          <w:bottom w:val="single" w:sz="8" w:space="0" w:color="20313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D1D8" w:themeFill="accent1" w:themeFillTint="3F"/>
      </w:tcPr>
    </w:tblStylePr>
    <w:tblStylePr w:type="band1Horz">
      <w:tblPr/>
      <w:tcPr>
        <w:tcBorders>
          <w:left w:val="nil"/>
          <w:right w:val="nil"/>
          <w:insideH w:val="nil"/>
          <w:insideV w:val="nil"/>
        </w:tcBorders>
        <w:shd w:val="clear" w:color="auto" w:fill="BDD1D8" w:themeFill="accent1" w:themeFillTint="3F"/>
      </w:tcPr>
    </w:tblStylePr>
  </w:style>
  <w:style w:type="table" w:styleId="LightShading-Accent2">
    <w:name w:val="Light Shading Accent 2"/>
    <w:basedOn w:val="TableNormal"/>
    <w:uiPriority w:val="60"/>
    <w:rsid w:val="00DD0835"/>
    <w:pPr>
      <w:spacing w:line="240" w:lineRule="atLeast"/>
    </w:pPr>
    <w:rPr>
      <w:rFonts w:eastAsia="MS Mincho"/>
      <w:color w:val="C7FA16" w:themeColor="accent2" w:themeShade="BF"/>
      <w:sz w:val="18"/>
      <w:szCs w:val="18"/>
    </w:rPr>
    <w:tblPr>
      <w:tblStyleRowBandSize w:val="1"/>
      <w:tblStyleColBandSize w:val="1"/>
      <w:tblBorders>
        <w:top w:val="single" w:sz="8" w:space="0" w:color="DDFC70" w:themeColor="accent2"/>
        <w:bottom w:val="single" w:sz="8" w:space="0" w:color="DDFC7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DFC70" w:themeColor="accent2"/>
          <w:left w:val="nil"/>
          <w:bottom w:val="single" w:sz="8" w:space="0" w:color="DDFC70" w:themeColor="accent2"/>
          <w:right w:val="nil"/>
          <w:insideH w:val="nil"/>
          <w:insideV w:val="nil"/>
        </w:tcBorders>
      </w:tcPr>
    </w:tblStylePr>
    <w:tblStylePr w:type="lastRow">
      <w:pPr>
        <w:spacing w:before="0" w:after="0" w:line="240" w:lineRule="auto"/>
      </w:pPr>
      <w:rPr>
        <w:b/>
        <w:bCs/>
      </w:rPr>
      <w:tblPr/>
      <w:tcPr>
        <w:tcBorders>
          <w:top w:val="single" w:sz="8" w:space="0" w:color="DDFC70" w:themeColor="accent2"/>
          <w:left w:val="nil"/>
          <w:bottom w:val="single" w:sz="8" w:space="0" w:color="DDFC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EDB" w:themeFill="accent2" w:themeFillTint="3F"/>
      </w:tcPr>
    </w:tblStylePr>
    <w:tblStylePr w:type="band1Horz">
      <w:tblPr/>
      <w:tcPr>
        <w:tcBorders>
          <w:left w:val="nil"/>
          <w:right w:val="nil"/>
          <w:insideH w:val="nil"/>
          <w:insideV w:val="nil"/>
        </w:tcBorders>
        <w:shd w:val="clear" w:color="auto" w:fill="F6FEDB" w:themeFill="accent2" w:themeFillTint="3F"/>
      </w:tcPr>
    </w:tblStylePr>
  </w:style>
  <w:style w:type="table" w:styleId="LightShading-Accent3">
    <w:name w:val="Light Shading Accent 3"/>
    <w:basedOn w:val="TableNormal"/>
    <w:uiPriority w:val="60"/>
    <w:rsid w:val="00DD0835"/>
    <w:pPr>
      <w:spacing w:line="240" w:lineRule="atLeast"/>
    </w:pPr>
    <w:rPr>
      <w:rFonts w:eastAsia="MS Mincho"/>
      <w:color w:val="B09876" w:themeColor="accent3" w:themeShade="BF"/>
      <w:sz w:val="18"/>
      <w:szCs w:val="18"/>
    </w:rPr>
    <w:tblPr>
      <w:tblStyleRowBandSize w:val="1"/>
      <w:tblStyleColBandSize w:val="1"/>
      <w:tblBorders>
        <w:top w:val="single" w:sz="8" w:space="0" w:color="D5C8B6" w:themeColor="accent3"/>
        <w:bottom w:val="single" w:sz="8" w:space="0" w:color="D5C8B6"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5C8B6" w:themeColor="accent3"/>
          <w:left w:val="nil"/>
          <w:bottom w:val="single" w:sz="8" w:space="0" w:color="D5C8B6" w:themeColor="accent3"/>
          <w:right w:val="nil"/>
          <w:insideH w:val="nil"/>
          <w:insideV w:val="nil"/>
        </w:tcBorders>
      </w:tcPr>
    </w:tblStylePr>
    <w:tblStylePr w:type="lastRow">
      <w:pPr>
        <w:spacing w:before="0" w:after="0" w:line="240" w:lineRule="auto"/>
      </w:pPr>
      <w:rPr>
        <w:b/>
        <w:bCs/>
      </w:rPr>
      <w:tblPr/>
      <w:tcPr>
        <w:tcBorders>
          <w:top w:val="single" w:sz="8" w:space="0" w:color="D5C8B6" w:themeColor="accent3"/>
          <w:left w:val="nil"/>
          <w:bottom w:val="single" w:sz="8" w:space="0" w:color="D5C8B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1EC" w:themeFill="accent3" w:themeFillTint="3F"/>
      </w:tcPr>
    </w:tblStylePr>
    <w:tblStylePr w:type="band1Horz">
      <w:tblPr/>
      <w:tcPr>
        <w:tcBorders>
          <w:left w:val="nil"/>
          <w:right w:val="nil"/>
          <w:insideH w:val="nil"/>
          <w:insideV w:val="nil"/>
        </w:tcBorders>
        <w:shd w:val="clear" w:color="auto" w:fill="F4F1EC" w:themeFill="accent3" w:themeFillTint="3F"/>
      </w:tcPr>
    </w:tblStylePr>
  </w:style>
  <w:style w:type="table" w:styleId="LightShading-Accent4">
    <w:name w:val="Light Shading Accent 4"/>
    <w:basedOn w:val="TableNormal"/>
    <w:uiPriority w:val="60"/>
    <w:rsid w:val="00DD0835"/>
    <w:pPr>
      <w:spacing w:line="240" w:lineRule="atLeast"/>
    </w:pPr>
    <w:rPr>
      <w:rFonts w:eastAsia="MS Mincho"/>
      <w:color w:val="607881" w:themeColor="accent4" w:themeShade="BF"/>
      <w:sz w:val="18"/>
      <w:szCs w:val="18"/>
    </w:rPr>
    <w:tblPr>
      <w:tblStyleRowBandSize w:val="1"/>
      <w:tblStyleColBandSize w:val="1"/>
      <w:tblBorders>
        <w:top w:val="single" w:sz="8" w:space="0" w:color="889EA6" w:themeColor="accent4"/>
        <w:bottom w:val="single" w:sz="8" w:space="0" w:color="889EA6"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889EA6" w:themeColor="accent4"/>
          <w:left w:val="nil"/>
          <w:bottom w:val="single" w:sz="8" w:space="0" w:color="889EA6" w:themeColor="accent4"/>
          <w:right w:val="nil"/>
          <w:insideH w:val="nil"/>
          <w:insideV w:val="nil"/>
        </w:tcBorders>
      </w:tcPr>
    </w:tblStylePr>
    <w:tblStylePr w:type="lastRow">
      <w:pPr>
        <w:spacing w:before="0" w:after="0" w:line="240" w:lineRule="auto"/>
      </w:pPr>
      <w:rPr>
        <w:b/>
        <w:bCs/>
      </w:rPr>
      <w:tblPr/>
      <w:tcPr>
        <w:tcBorders>
          <w:top w:val="single" w:sz="8" w:space="0" w:color="889EA6" w:themeColor="accent4"/>
          <w:left w:val="nil"/>
          <w:bottom w:val="single" w:sz="8" w:space="0" w:color="889E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6E9" w:themeFill="accent4" w:themeFillTint="3F"/>
      </w:tcPr>
    </w:tblStylePr>
    <w:tblStylePr w:type="band1Horz">
      <w:tblPr/>
      <w:tcPr>
        <w:tcBorders>
          <w:left w:val="nil"/>
          <w:right w:val="nil"/>
          <w:insideH w:val="nil"/>
          <w:insideV w:val="nil"/>
        </w:tcBorders>
        <w:shd w:val="clear" w:color="auto" w:fill="E1E6E9" w:themeFill="accent4" w:themeFillTint="3F"/>
      </w:tcPr>
    </w:tblStylePr>
  </w:style>
  <w:style w:type="table" w:styleId="LightShading-Accent5">
    <w:name w:val="Light Shading Accent 5"/>
    <w:basedOn w:val="TableNormal"/>
    <w:uiPriority w:val="60"/>
    <w:rsid w:val="00DD0835"/>
    <w:pPr>
      <w:spacing w:line="240" w:lineRule="atLeast"/>
    </w:pPr>
    <w:rPr>
      <w:rFonts w:eastAsia="MS Mincho"/>
      <w:color w:val="6498D5" w:themeColor="accent5" w:themeShade="BF"/>
      <w:sz w:val="18"/>
      <w:szCs w:val="18"/>
    </w:rPr>
    <w:tblPr>
      <w:tblStyleRowBandSize w:val="1"/>
      <w:tblStyleColBandSize w:val="1"/>
      <w:tblBorders>
        <w:top w:val="single" w:sz="8" w:space="0" w:color="B8D0EC" w:themeColor="accent5"/>
        <w:bottom w:val="single" w:sz="8" w:space="0" w:color="B8D0EC"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B8D0EC" w:themeColor="accent5"/>
          <w:left w:val="nil"/>
          <w:bottom w:val="single" w:sz="8" w:space="0" w:color="B8D0EC" w:themeColor="accent5"/>
          <w:right w:val="nil"/>
          <w:insideH w:val="nil"/>
          <w:insideV w:val="nil"/>
        </w:tcBorders>
      </w:tcPr>
    </w:tblStylePr>
    <w:tblStylePr w:type="lastRow">
      <w:pPr>
        <w:spacing w:before="0" w:after="0" w:line="240" w:lineRule="auto"/>
      </w:pPr>
      <w:rPr>
        <w:b/>
        <w:bCs/>
      </w:rPr>
      <w:tblPr/>
      <w:tcPr>
        <w:tcBorders>
          <w:top w:val="single" w:sz="8" w:space="0" w:color="B8D0EC" w:themeColor="accent5"/>
          <w:left w:val="nil"/>
          <w:bottom w:val="single" w:sz="8" w:space="0" w:color="B8D0E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3FA" w:themeFill="accent5" w:themeFillTint="3F"/>
      </w:tcPr>
    </w:tblStylePr>
    <w:tblStylePr w:type="band1Horz">
      <w:tblPr/>
      <w:tcPr>
        <w:tcBorders>
          <w:left w:val="nil"/>
          <w:right w:val="nil"/>
          <w:insideH w:val="nil"/>
          <w:insideV w:val="nil"/>
        </w:tcBorders>
        <w:shd w:val="clear" w:color="auto" w:fill="EDF3FA" w:themeFill="accent5" w:themeFillTint="3F"/>
      </w:tcPr>
    </w:tblStylePr>
  </w:style>
  <w:style w:type="table" w:styleId="LightShading-Accent6">
    <w:name w:val="Light Shading Accent 6"/>
    <w:basedOn w:val="TableNormal"/>
    <w:uiPriority w:val="60"/>
    <w:rsid w:val="00DD0835"/>
    <w:pPr>
      <w:spacing w:line="240" w:lineRule="atLeast"/>
    </w:pPr>
    <w:rPr>
      <w:rFonts w:eastAsia="MS Mincho"/>
      <w:color w:val="93DC47" w:themeColor="accent6" w:themeShade="BF"/>
      <w:sz w:val="18"/>
      <w:szCs w:val="18"/>
    </w:rPr>
    <w:tblPr>
      <w:tblStyleRowBandSize w:val="1"/>
      <w:tblStyleColBandSize w:val="1"/>
      <w:tblBorders>
        <w:top w:val="single" w:sz="8" w:space="0" w:color="C4EC9A" w:themeColor="accent6"/>
        <w:bottom w:val="single" w:sz="8" w:space="0" w:color="C4EC9A"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C4EC9A" w:themeColor="accent6"/>
          <w:left w:val="nil"/>
          <w:bottom w:val="single" w:sz="8" w:space="0" w:color="C4EC9A" w:themeColor="accent6"/>
          <w:right w:val="nil"/>
          <w:insideH w:val="nil"/>
          <w:insideV w:val="nil"/>
        </w:tcBorders>
      </w:tcPr>
    </w:tblStylePr>
    <w:tblStylePr w:type="lastRow">
      <w:pPr>
        <w:spacing w:before="0" w:after="0" w:line="240" w:lineRule="auto"/>
      </w:pPr>
      <w:rPr>
        <w:b/>
        <w:bCs/>
      </w:rPr>
      <w:tblPr/>
      <w:tcPr>
        <w:tcBorders>
          <w:top w:val="single" w:sz="8" w:space="0" w:color="C4EC9A" w:themeColor="accent6"/>
          <w:left w:val="nil"/>
          <w:bottom w:val="single" w:sz="8" w:space="0" w:color="C4EC9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AE6" w:themeFill="accent6" w:themeFillTint="3F"/>
      </w:tcPr>
    </w:tblStylePr>
    <w:tblStylePr w:type="band1Horz">
      <w:tblPr/>
      <w:tcPr>
        <w:tcBorders>
          <w:left w:val="nil"/>
          <w:right w:val="nil"/>
          <w:insideH w:val="nil"/>
          <w:insideV w:val="nil"/>
        </w:tcBorders>
        <w:shd w:val="clear" w:color="auto" w:fill="F0FAE6" w:themeFill="accent6" w:themeFillTint="3F"/>
      </w:tcPr>
    </w:tblStylePr>
  </w:style>
  <w:style w:type="character" w:styleId="LineNumber">
    <w:name w:val="line number"/>
    <w:basedOn w:val="DefaultParagraphFont"/>
    <w:uiPriority w:val="99"/>
    <w:semiHidden/>
    <w:unhideWhenUsed/>
    <w:rsid w:val="00DD0835"/>
  </w:style>
  <w:style w:type="paragraph" w:styleId="List">
    <w:name w:val="List"/>
    <w:basedOn w:val="Normal"/>
    <w:uiPriority w:val="99"/>
    <w:semiHidden/>
    <w:unhideWhenUsed/>
    <w:rsid w:val="00DD0835"/>
    <w:pPr>
      <w:ind w:left="283" w:hanging="283"/>
      <w:contextualSpacing/>
    </w:pPr>
  </w:style>
  <w:style w:type="paragraph" w:styleId="List2">
    <w:name w:val="List 2"/>
    <w:basedOn w:val="Normal"/>
    <w:uiPriority w:val="99"/>
    <w:semiHidden/>
    <w:unhideWhenUsed/>
    <w:rsid w:val="00DD0835"/>
    <w:pPr>
      <w:ind w:left="566" w:hanging="283"/>
      <w:contextualSpacing/>
    </w:pPr>
  </w:style>
  <w:style w:type="paragraph" w:styleId="List3">
    <w:name w:val="List 3"/>
    <w:basedOn w:val="Normal"/>
    <w:uiPriority w:val="99"/>
    <w:semiHidden/>
    <w:unhideWhenUsed/>
    <w:rsid w:val="00DD0835"/>
    <w:pPr>
      <w:ind w:left="849" w:hanging="283"/>
      <w:contextualSpacing/>
    </w:pPr>
  </w:style>
  <w:style w:type="paragraph" w:styleId="List4">
    <w:name w:val="List 4"/>
    <w:basedOn w:val="Normal"/>
    <w:uiPriority w:val="99"/>
    <w:semiHidden/>
    <w:unhideWhenUsed/>
    <w:rsid w:val="00DD0835"/>
    <w:pPr>
      <w:ind w:left="1132" w:hanging="283"/>
      <w:contextualSpacing/>
    </w:pPr>
  </w:style>
  <w:style w:type="paragraph" w:styleId="ListBullet2">
    <w:name w:val="List Bullet 2"/>
    <w:basedOn w:val="Normal"/>
    <w:uiPriority w:val="4"/>
    <w:rsid w:val="00DD0835"/>
    <w:pPr>
      <w:numPr>
        <w:ilvl w:val="1"/>
        <w:numId w:val="9"/>
      </w:numPr>
      <w:contextualSpacing/>
    </w:pPr>
  </w:style>
  <w:style w:type="paragraph" w:styleId="ListNumber3">
    <w:name w:val="List Number 3"/>
    <w:basedOn w:val="Normal"/>
    <w:uiPriority w:val="5"/>
    <w:qFormat/>
    <w:rsid w:val="00DD0835"/>
    <w:pPr>
      <w:numPr>
        <w:ilvl w:val="2"/>
        <w:numId w:val="11"/>
      </w:numPr>
      <w:contextualSpacing/>
    </w:pPr>
  </w:style>
  <w:style w:type="paragraph" w:styleId="ListBullet5">
    <w:name w:val="List Bullet 5"/>
    <w:basedOn w:val="Normal"/>
    <w:uiPriority w:val="99"/>
    <w:semiHidden/>
    <w:unhideWhenUsed/>
    <w:rsid w:val="00DD0835"/>
    <w:pPr>
      <w:tabs>
        <w:tab w:val="num" w:pos="360"/>
      </w:tabs>
      <w:ind w:left="360" w:hanging="360"/>
      <w:contextualSpacing/>
    </w:pPr>
  </w:style>
  <w:style w:type="paragraph" w:styleId="ListContinue">
    <w:name w:val="List Continue"/>
    <w:basedOn w:val="Normal"/>
    <w:uiPriority w:val="99"/>
    <w:semiHidden/>
    <w:unhideWhenUsed/>
    <w:rsid w:val="00DD0835"/>
    <w:pPr>
      <w:ind w:left="283"/>
      <w:contextualSpacing/>
    </w:pPr>
  </w:style>
  <w:style w:type="paragraph" w:styleId="ListContinue2">
    <w:name w:val="List Continue 2"/>
    <w:basedOn w:val="Normal"/>
    <w:uiPriority w:val="99"/>
    <w:semiHidden/>
    <w:unhideWhenUsed/>
    <w:rsid w:val="00DD0835"/>
    <w:pPr>
      <w:ind w:left="566"/>
      <w:contextualSpacing/>
    </w:pPr>
  </w:style>
  <w:style w:type="paragraph" w:styleId="ListContinue3">
    <w:name w:val="List Continue 3"/>
    <w:basedOn w:val="Normal"/>
    <w:uiPriority w:val="99"/>
    <w:semiHidden/>
    <w:unhideWhenUsed/>
    <w:rsid w:val="00DD0835"/>
    <w:pPr>
      <w:ind w:left="849"/>
      <w:contextualSpacing/>
    </w:pPr>
  </w:style>
  <w:style w:type="paragraph" w:styleId="ListContinue4">
    <w:name w:val="List Continue 4"/>
    <w:basedOn w:val="Normal"/>
    <w:uiPriority w:val="99"/>
    <w:semiHidden/>
    <w:unhideWhenUsed/>
    <w:rsid w:val="00DD0835"/>
    <w:pPr>
      <w:ind w:left="1132"/>
      <w:contextualSpacing/>
    </w:pPr>
  </w:style>
  <w:style w:type="paragraph" w:styleId="ListContinue5">
    <w:name w:val="List Continue 5"/>
    <w:basedOn w:val="Normal"/>
    <w:uiPriority w:val="99"/>
    <w:semiHidden/>
    <w:unhideWhenUsed/>
    <w:rsid w:val="00DD0835"/>
    <w:pPr>
      <w:ind w:left="1415"/>
      <w:contextualSpacing/>
    </w:pPr>
  </w:style>
  <w:style w:type="paragraph" w:styleId="ListNumber4">
    <w:name w:val="List Number 4"/>
    <w:basedOn w:val="Normal"/>
    <w:uiPriority w:val="99"/>
    <w:semiHidden/>
    <w:unhideWhenUsed/>
    <w:rsid w:val="00DD0835"/>
    <w:pPr>
      <w:ind w:left="720" w:hanging="360"/>
      <w:contextualSpacing/>
    </w:pPr>
  </w:style>
  <w:style w:type="paragraph" w:styleId="ListNumber5">
    <w:name w:val="List Number 5"/>
    <w:basedOn w:val="Normal"/>
    <w:uiPriority w:val="99"/>
    <w:semiHidden/>
    <w:unhideWhenUsed/>
    <w:rsid w:val="00DD0835"/>
    <w:pPr>
      <w:numPr>
        <w:numId w:val="10"/>
      </w:numPr>
      <w:contextualSpacing/>
    </w:pPr>
  </w:style>
  <w:style w:type="paragraph" w:styleId="MacroText">
    <w:name w:val="macro"/>
    <w:link w:val="MacroTextChar"/>
    <w:uiPriority w:val="99"/>
    <w:semiHidden/>
    <w:unhideWhenUsed/>
    <w:rsid w:val="00DD0835"/>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nsolas" w:eastAsia="Times New Roman" w:hAnsi="Consolas" w:cs="Consolas"/>
      <w:color w:val="000000" w:themeColor="text2"/>
      <w:sz w:val="18"/>
      <w:szCs w:val="18"/>
      <w:lang w:val="en-AU"/>
    </w:rPr>
  </w:style>
  <w:style w:type="character" w:customStyle="1" w:styleId="MacroTextChar">
    <w:name w:val="Macro Text Char"/>
    <w:basedOn w:val="DefaultParagraphFont"/>
    <w:link w:val="MacroText"/>
    <w:uiPriority w:val="99"/>
    <w:semiHidden/>
    <w:rsid w:val="00DD0835"/>
    <w:rPr>
      <w:rFonts w:ascii="Consolas" w:eastAsia="Times New Roman" w:hAnsi="Consolas" w:cs="Consolas"/>
      <w:color w:val="000000" w:themeColor="text2"/>
      <w:sz w:val="18"/>
      <w:szCs w:val="18"/>
      <w:lang w:val="en-AU" w:eastAsia="en-US"/>
    </w:rPr>
  </w:style>
  <w:style w:type="table" w:styleId="MediumGrid1">
    <w:name w:val="Medium Grid 1"/>
    <w:basedOn w:val="TableNormal"/>
    <w:uiPriority w:val="67"/>
    <w:rsid w:val="00DD0835"/>
    <w:pPr>
      <w:spacing w:line="240" w:lineRule="atLeast"/>
    </w:pPr>
    <w:rPr>
      <w:rFonts w:eastAsia="MS Mincho"/>
      <w:color w:val="000000" w:themeColor="text2"/>
      <w:sz w:val="18"/>
      <w:szCs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DD0835"/>
    <w:pPr>
      <w:spacing w:line="240" w:lineRule="atLeast"/>
    </w:pPr>
    <w:rPr>
      <w:rFonts w:eastAsia="MS Mincho"/>
      <w:color w:val="000000" w:themeColor="text2"/>
      <w:sz w:val="18"/>
      <w:szCs w:val="18"/>
    </w:rPr>
    <w:tblPr>
      <w:tblStyleRowBandSize w:val="1"/>
      <w:tblStyleColBandSize w:val="1"/>
      <w:tblBorders>
        <w:top w:val="single" w:sz="8" w:space="0" w:color="476D78" w:themeColor="accent1" w:themeTint="BF"/>
        <w:left w:val="single" w:sz="8" w:space="0" w:color="476D78" w:themeColor="accent1" w:themeTint="BF"/>
        <w:bottom w:val="single" w:sz="8" w:space="0" w:color="476D78" w:themeColor="accent1" w:themeTint="BF"/>
        <w:right w:val="single" w:sz="8" w:space="0" w:color="476D78" w:themeColor="accent1" w:themeTint="BF"/>
        <w:insideH w:val="single" w:sz="8" w:space="0" w:color="476D78" w:themeColor="accent1" w:themeTint="BF"/>
        <w:insideV w:val="single" w:sz="8" w:space="0" w:color="476D78" w:themeColor="accent1" w:themeTint="BF"/>
      </w:tblBorders>
    </w:tblPr>
    <w:tcPr>
      <w:shd w:val="clear" w:color="auto" w:fill="BDD1D8"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76D78" w:themeColor="accent1" w:themeTint="BF"/>
        </w:tcBorders>
      </w:tcPr>
    </w:tblStylePr>
    <w:tblStylePr w:type="firstCol">
      <w:rPr>
        <w:b/>
        <w:bCs/>
      </w:rPr>
    </w:tblStylePr>
    <w:tblStylePr w:type="lastCol">
      <w:rPr>
        <w:b/>
        <w:bCs/>
      </w:rPr>
    </w:tblStylePr>
    <w:tblStylePr w:type="band1Vert">
      <w:tblPr/>
      <w:tcPr>
        <w:shd w:val="clear" w:color="auto" w:fill="7AA4B0" w:themeFill="accent1" w:themeFillTint="7F"/>
      </w:tcPr>
    </w:tblStylePr>
    <w:tblStylePr w:type="band1Horz">
      <w:tblPr/>
      <w:tcPr>
        <w:shd w:val="clear" w:color="auto" w:fill="7AA4B0" w:themeFill="accent1" w:themeFillTint="7F"/>
      </w:tcPr>
    </w:tblStylePr>
  </w:style>
  <w:style w:type="table" w:styleId="MediumGrid1-Accent2">
    <w:name w:val="Medium Grid 1 Accent 2"/>
    <w:basedOn w:val="TableNormal"/>
    <w:uiPriority w:val="67"/>
    <w:rsid w:val="00DD0835"/>
    <w:pPr>
      <w:spacing w:line="240" w:lineRule="atLeast"/>
    </w:pPr>
    <w:rPr>
      <w:rFonts w:eastAsia="MS Mincho"/>
      <w:color w:val="000000" w:themeColor="text2"/>
      <w:sz w:val="18"/>
      <w:szCs w:val="18"/>
    </w:rPr>
    <w:tblPr>
      <w:tblStyleRowBandSize w:val="1"/>
      <w:tblStyleColBandSize w:val="1"/>
      <w:tblBorders>
        <w:top w:val="single" w:sz="8" w:space="0" w:color="E5FC93" w:themeColor="accent2" w:themeTint="BF"/>
        <w:left w:val="single" w:sz="8" w:space="0" w:color="E5FC93" w:themeColor="accent2" w:themeTint="BF"/>
        <w:bottom w:val="single" w:sz="8" w:space="0" w:color="E5FC93" w:themeColor="accent2" w:themeTint="BF"/>
        <w:right w:val="single" w:sz="8" w:space="0" w:color="E5FC93" w:themeColor="accent2" w:themeTint="BF"/>
        <w:insideH w:val="single" w:sz="8" w:space="0" w:color="E5FC93" w:themeColor="accent2" w:themeTint="BF"/>
        <w:insideV w:val="single" w:sz="8" w:space="0" w:color="E5FC93" w:themeColor="accent2" w:themeTint="BF"/>
      </w:tblBorders>
    </w:tblPr>
    <w:tcPr>
      <w:shd w:val="clear" w:color="auto" w:fill="F6FEDB"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5FC93" w:themeColor="accent2" w:themeTint="BF"/>
        </w:tcBorders>
      </w:tcPr>
    </w:tblStylePr>
    <w:tblStylePr w:type="firstCol">
      <w:rPr>
        <w:b/>
        <w:bCs/>
      </w:rPr>
    </w:tblStylePr>
    <w:tblStylePr w:type="lastCol">
      <w:rPr>
        <w:b/>
        <w:bCs/>
      </w:rPr>
    </w:tblStylePr>
    <w:tblStylePr w:type="band1Vert">
      <w:tblPr/>
      <w:tcPr>
        <w:shd w:val="clear" w:color="auto" w:fill="EDFDB7" w:themeFill="accent2" w:themeFillTint="7F"/>
      </w:tcPr>
    </w:tblStylePr>
    <w:tblStylePr w:type="band1Horz">
      <w:tblPr/>
      <w:tcPr>
        <w:shd w:val="clear" w:color="auto" w:fill="EDFDB7" w:themeFill="accent2" w:themeFillTint="7F"/>
      </w:tcPr>
    </w:tblStylePr>
  </w:style>
  <w:style w:type="table" w:styleId="MediumGrid1-Accent3">
    <w:name w:val="Medium Grid 1 Accent 3"/>
    <w:basedOn w:val="TableNormal"/>
    <w:uiPriority w:val="67"/>
    <w:rsid w:val="00DD0835"/>
    <w:pPr>
      <w:spacing w:line="240" w:lineRule="atLeast"/>
    </w:pPr>
    <w:rPr>
      <w:rFonts w:eastAsia="MS Mincho"/>
      <w:color w:val="000000" w:themeColor="text2"/>
      <w:sz w:val="18"/>
      <w:szCs w:val="18"/>
    </w:rPr>
    <w:tblPr>
      <w:tblStyleRowBandSize w:val="1"/>
      <w:tblStyleColBandSize w:val="1"/>
      <w:tblBorders>
        <w:top w:val="single" w:sz="8" w:space="0" w:color="DFD5C8" w:themeColor="accent3" w:themeTint="BF"/>
        <w:left w:val="single" w:sz="8" w:space="0" w:color="DFD5C8" w:themeColor="accent3" w:themeTint="BF"/>
        <w:bottom w:val="single" w:sz="8" w:space="0" w:color="DFD5C8" w:themeColor="accent3" w:themeTint="BF"/>
        <w:right w:val="single" w:sz="8" w:space="0" w:color="DFD5C8" w:themeColor="accent3" w:themeTint="BF"/>
        <w:insideH w:val="single" w:sz="8" w:space="0" w:color="DFD5C8" w:themeColor="accent3" w:themeTint="BF"/>
        <w:insideV w:val="single" w:sz="8" w:space="0" w:color="DFD5C8" w:themeColor="accent3" w:themeTint="BF"/>
      </w:tblBorders>
    </w:tblPr>
    <w:tcPr>
      <w:shd w:val="clear" w:color="auto" w:fill="F4F1EC"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DFD5C8" w:themeColor="accent3" w:themeTint="BF"/>
        </w:tcBorders>
      </w:tcPr>
    </w:tblStylePr>
    <w:tblStylePr w:type="firstCol">
      <w:rPr>
        <w:b/>
        <w:bCs/>
      </w:rPr>
    </w:tblStylePr>
    <w:tblStylePr w:type="lastCol">
      <w:rPr>
        <w:b/>
        <w:bCs/>
      </w:rPr>
    </w:tblStylePr>
    <w:tblStylePr w:type="band1Vert">
      <w:tblPr/>
      <w:tcPr>
        <w:shd w:val="clear" w:color="auto" w:fill="EAE3DA" w:themeFill="accent3" w:themeFillTint="7F"/>
      </w:tcPr>
    </w:tblStylePr>
    <w:tblStylePr w:type="band1Horz">
      <w:tblPr/>
      <w:tcPr>
        <w:shd w:val="clear" w:color="auto" w:fill="EAE3DA" w:themeFill="accent3" w:themeFillTint="7F"/>
      </w:tcPr>
    </w:tblStylePr>
  </w:style>
  <w:style w:type="table" w:styleId="MediumGrid1-Accent4">
    <w:name w:val="Medium Grid 1 Accent 4"/>
    <w:basedOn w:val="TableNormal"/>
    <w:uiPriority w:val="67"/>
    <w:rsid w:val="00DD0835"/>
    <w:pPr>
      <w:spacing w:line="240" w:lineRule="atLeast"/>
    </w:pPr>
    <w:rPr>
      <w:rFonts w:eastAsia="MS Mincho"/>
      <w:color w:val="000000" w:themeColor="text2"/>
      <w:sz w:val="18"/>
      <w:szCs w:val="18"/>
    </w:rPr>
    <w:tblPr>
      <w:tblStyleRowBandSize w:val="1"/>
      <w:tblStyleColBandSize w:val="1"/>
      <w:tblBorders>
        <w:top w:val="single" w:sz="8" w:space="0" w:color="A5B6BC" w:themeColor="accent4" w:themeTint="BF"/>
        <w:left w:val="single" w:sz="8" w:space="0" w:color="A5B6BC" w:themeColor="accent4" w:themeTint="BF"/>
        <w:bottom w:val="single" w:sz="8" w:space="0" w:color="A5B6BC" w:themeColor="accent4" w:themeTint="BF"/>
        <w:right w:val="single" w:sz="8" w:space="0" w:color="A5B6BC" w:themeColor="accent4" w:themeTint="BF"/>
        <w:insideH w:val="single" w:sz="8" w:space="0" w:color="A5B6BC" w:themeColor="accent4" w:themeTint="BF"/>
        <w:insideV w:val="single" w:sz="8" w:space="0" w:color="A5B6BC" w:themeColor="accent4" w:themeTint="BF"/>
      </w:tblBorders>
    </w:tblPr>
    <w:tcPr>
      <w:shd w:val="clear" w:color="auto" w:fill="E1E6E9"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A5B6BC" w:themeColor="accent4" w:themeTint="BF"/>
        </w:tcBorders>
      </w:tcPr>
    </w:tblStylePr>
    <w:tblStylePr w:type="firstCol">
      <w:rPr>
        <w:b/>
        <w:bCs/>
      </w:rPr>
    </w:tblStylePr>
    <w:tblStylePr w:type="lastCol">
      <w:rPr>
        <w:b/>
        <w:bCs/>
      </w:rPr>
    </w:tblStylePr>
    <w:tblStylePr w:type="band1Vert">
      <w:tblPr/>
      <w:tcPr>
        <w:shd w:val="clear" w:color="auto" w:fill="C3CED2" w:themeFill="accent4" w:themeFillTint="7F"/>
      </w:tcPr>
    </w:tblStylePr>
    <w:tblStylePr w:type="band1Horz">
      <w:tblPr/>
      <w:tcPr>
        <w:shd w:val="clear" w:color="auto" w:fill="C3CED2" w:themeFill="accent4" w:themeFillTint="7F"/>
      </w:tcPr>
    </w:tblStylePr>
  </w:style>
  <w:style w:type="table" w:styleId="MediumGrid1-Accent5">
    <w:name w:val="Medium Grid 1 Accent 5"/>
    <w:basedOn w:val="TableNormal"/>
    <w:uiPriority w:val="67"/>
    <w:rsid w:val="00DD0835"/>
    <w:pPr>
      <w:spacing w:line="240" w:lineRule="atLeast"/>
    </w:pPr>
    <w:rPr>
      <w:rFonts w:eastAsia="MS Mincho"/>
      <w:color w:val="000000" w:themeColor="text2"/>
      <w:sz w:val="18"/>
      <w:szCs w:val="18"/>
    </w:rPr>
    <w:tblPr>
      <w:tblStyleRowBandSize w:val="1"/>
      <w:tblStyleColBandSize w:val="1"/>
      <w:tblBorders>
        <w:top w:val="single" w:sz="8" w:space="0" w:color="C9DBF0" w:themeColor="accent5" w:themeTint="BF"/>
        <w:left w:val="single" w:sz="8" w:space="0" w:color="C9DBF0" w:themeColor="accent5" w:themeTint="BF"/>
        <w:bottom w:val="single" w:sz="8" w:space="0" w:color="C9DBF0" w:themeColor="accent5" w:themeTint="BF"/>
        <w:right w:val="single" w:sz="8" w:space="0" w:color="C9DBF0" w:themeColor="accent5" w:themeTint="BF"/>
        <w:insideH w:val="single" w:sz="8" w:space="0" w:color="C9DBF0" w:themeColor="accent5" w:themeTint="BF"/>
        <w:insideV w:val="single" w:sz="8" w:space="0" w:color="C9DBF0" w:themeColor="accent5" w:themeTint="BF"/>
      </w:tblBorders>
    </w:tblPr>
    <w:tcPr>
      <w:shd w:val="clear" w:color="auto" w:fill="EDF3FA"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C9DBF0" w:themeColor="accent5" w:themeTint="BF"/>
        </w:tcBorders>
      </w:tcPr>
    </w:tblStylePr>
    <w:tblStylePr w:type="firstCol">
      <w:rPr>
        <w:b/>
        <w:bCs/>
      </w:rPr>
    </w:tblStylePr>
    <w:tblStylePr w:type="lastCol">
      <w:rPr>
        <w:b/>
        <w:bCs/>
      </w:rPr>
    </w:tblStylePr>
    <w:tblStylePr w:type="band1Vert">
      <w:tblPr/>
      <w:tcPr>
        <w:shd w:val="clear" w:color="auto" w:fill="DBE7F5" w:themeFill="accent5" w:themeFillTint="7F"/>
      </w:tcPr>
    </w:tblStylePr>
    <w:tblStylePr w:type="band1Horz">
      <w:tblPr/>
      <w:tcPr>
        <w:shd w:val="clear" w:color="auto" w:fill="DBE7F5" w:themeFill="accent5" w:themeFillTint="7F"/>
      </w:tcPr>
    </w:tblStylePr>
  </w:style>
  <w:style w:type="table" w:styleId="MediumGrid1-Accent6">
    <w:name w:val="Medium Grid 1 Accent 6"/>
    <w:basedOn w:val="TableNormal"/>
    <w:uiPriority w:val="67"/>
    <w:rsid w:val="00DD0835"/>
    <w:pPr>
      <w:spacing w:line="240" w:lineRule="atLeast"/>
    </w:pPr>
    <w:rPr>
      <w:rFonts w:eastAsia="MS Mincho"/>
      <w:color w:val="000000" w:themeColor="text2"/>
      <w:sz w:val="18"/>
      <w:szCs w:val="18"/>
    </w:rPr>
    <w:tblPr>
      <w:tblStyleRowBandSize w:val="1"/>
      <w:tblStyleColBandSize w:val="1"/>
      <w:tblBorders>
        <w:top w:val="single" w:sz="8" w:space="0" w:color="D2F0B3" w:themeColor="accent6" w:themeTint="BF"/>
        <w:left w:val="single" w:sz="8" w:space="0" w:color="D2F0B3" w:themeColor="accent6" w:themeTint="BF"/>
        <w:bottom w:val="single" w:sz="8" w:space="0" w:color="D2F0B3" w:themeColor="accent6" w:themeTint="BF"/>
        <w:right w:val="single" w:sz="8" w:space="0" w:color="D2F0B3" w:themeColor="accent6" w:themeTint="BF"/>
        <w:insideH w:val="single" w:sz="8" w:space="0" w:color="D2F0B3" w:themeColor="accent6" w:themeTint="BF"/>
        <w:insideV w:val="single" w:sz="8" w:space="0" w:color="D2F0B3" w:themeColor="accent6" w:themeTint="BF"/>
      </w:tblBorders>
    </w:tblPr>
    <w:tcPr>
      <w:shd w:val="clear" w:color="auto" w:fill="F0FAE6"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D2F0B3" w:themeColor="accent6" w:themeTint="BF"/>
        </w:tcBorders>
      </w:tcPr>
    </w:tblStylePr>
    <w:tblStylePr w:type="firstCol">
      <w:rPr>
        <w:b/>
        <w:bCs/>
      </w:rPr>
    </w:tblStylePr>
    <w:tblStylePr w:type="lastCol">
      <w:rPr>
        <w:b/>
        <w:bCs/>
      </w:rPr>
    </w:tblStylePr>
    <w:tblStylePr w:type="band1Vert">
      <w:tblPr/>
      <w:tcPr>
        <w:shd w:val="clear" w:color="auto" w:fill="E1F5CC" w:themeFill="accent6" w:themeFillTint="7F"/>
      </w:tcPr>
    </w:tblStylePr>
    <w:tblStylePr w:type="band1Horz">
      <w:tblPr/>
      <w:tcPr>
        <w:shd w:val="clear" w:color="auto" w:fill="E1F5CC" w:themeFill="accent6" w:themeFillTint="7F"/>
      </w:tcPr>
    </w:tblStylePr>
  </w:style>
  <w:style w:type="table" w:styleId="MediumGrid2">
    <w:name w:val="Medium Grid 2"/>
    <w:basedOn w:val="TableNormal"/>
    <w:uiPriority w:val="68"/>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203136" w:themeColor="accent1"/>
        <w:left w:val="single" w:sz="8" w:space="0" w:color="203136" w:themeColor="accent1"/>
        <w:bottom w:val="single" w:sz="8" w:space="0" w:color="203136" w:themeColor="accent1"/>
        <w:right w:val="single" w:sz="8" w:space="0" w:color="203136" w:themeColor="accent1"/>
        <w:insideH w:val="single" w:sz="8" w:space="0" w:color="203136" w:themeColor="accent1"/>
        <w:insideV w:val="single" w:sz="8" w:space="0" w:color="203136" w:themeColor="accent1"/>
      </w:tblBorders>
    </w:tblPr>
    <w:tcPr>
      <w:shd w:val="clear" w:color="auto" w:fill="BDD1D8" w:themeFill="accent1" w:themeFillTint="3F"/>
      <w:tcMar>
        <w:top w:w="57" w:type="dxa"/>
        <w:left w:w="57" w:type="dxa"/>
        <w:bottom w:w="57" w:type="dxa"/>
        <w:right w:w="57" w:type="dxa"/>
      </w:tcMar>
    </w:tcPr>
    <w:tblStylePr w:type="firstRow">
      <w:rPr>
        <w:rFonts w:asciiTheme="majorHAnsi" w:hAnsiTheme="majorHAnsi"/>
        <w:b/>
        <w:bCs/>
      </w:rPr>
      <w:tblPr/>
      <w:tcPr>
        <w:shd w:val="clear" w:color="auto" w:fill="E4ED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DADF" w:themeFill="accent1" w:themeFillTint="33"/>
      </w:tcPr>
    </w:tblStylePr>
    <w:tblStylePr w:type="band1Vert">
      <w:tblPr/>
      <w:tcPr>
        <w:shd w:val="clear" w:color="auto" w:fill="7AA4B0" w:themeFill="accent1" w:themeFillTint="7F"/>
      </w:tcPr>
    </w:tblStylePr>
    <w:tblStylePr w:type="band1Horz">
      <w:tblPr/>
      <w:tcPr>
        <w:tcBorders>
          <w:insideH w:val="single" w:sz="6" w:space="0" w:color="203136" w:themeColor="accent1"/>
          <w:insideV w:val="single" w:sz="6" w:space="0" w:color="203136" w:themeColor="accent1"/>
        </w:tcBorders>
        <w:shd w:val="clear" w:color="auto" w:fill="7AA4B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DDFC70" w:themeColor="accent2"/>
        <w:left w:val="single" w:sz="8" w:space="0" w:color="DDFC70" w:themeColor="accent2"/>
        <w:bottom w:val="single" w:sz="8" w:space="0" w:color="DDFC70" w:themeColor="accent2"/>
        <w:right w:val="single" w:sz="8" w:space="0" w:color="DDFC70" w:themeColor="accent2"/>
        <w:insideH w:val="single" w:sz="8" w:space="0" w:color="DDFC70" w:themeColor="accent2"/>
        <w:insideV w:val="single" w:sz="8" w:space="0" w:color="DDFC70" w:themeColor="accent2"/>
      </w:tblBorders>
    </w:tblPr>
    <w:tcPr>
      <w:shd w:val="clear" w:color="auto" w:fill="F6FEDB" w:themeFill="accent2" w:themeFillTint="3F"/>
      <w:tcMar>
        <w:top w:w="57" w:type="dxa"/>
        <w:left w:w="57" w:type="dxa"/>
        <w:bottom w:w="57" w:type="dxa"/>
        <w:right w:w="57" w:type="dxa"/>
      </w:tcMar>
    </w:tcPr>
    <w:tblStylePr w:type="firstRow">
      <w:rPr>
        <w:rFonts w:asciiTheme="majorHAnsi" w:hAnsiTheme="majorHAnsi"/>
        <w:b/>
        <w:bCs/>
      </w:rPr>
      <w:tblPr/>
      <w:tcPr>
        <w:shd w:val="clear" w:color="auto" w:fill="FBF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EE2" w:themeFill="accent2" w:themeFillTint="33"/>
      </w:tcPr>
    </w:tblStylePr>
    <w:tblStylePr w:type="band1Vert">
      <w:tblPr/>
      <w:tcPr>
        <w:shd w:val="clear" w:color="auto" w:fill="EDFDB7" w:themeFill="accent2" w:themeFillTint="7F"/>
      </w:tcPr>
    </w:tblStylePr>
    <w:tblStylePr w:type="band1Horz">
      <w:tblPr/>
      <w:tcPr>
        <w:tcBorders>
          <w:insideH w:val="single" w:sz="6" w:space="0" w:color="DDFC70" w:themeColor="accent2"/>
          <w:insideV w:val="single" w:sz="6" w:space="0" w:color="DDFC70" w:themeColor="accent2"/>
        </w:tcBorders>
        <w:shd w:val="clear" w:color="auto" w:fill="EDFDB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D5C8B6" w:themeColor="accent3"/>
        <w:left w:val="single" w:sz="8" w:space="0" w:color="D5C8B6" w:themeColor="accent3"/>
        <w:bottom w:val="single" w:sz="8" w:space="0" w:color="D5C8B6" w:themeColor="accent3"/>
        <w:right w:val="single" w:sz="8" w:space="0" w:color="D5C8B6" w:themeColor="accent3"/>
        <w:insideH w:val="single" w:sz="8" w:space="0" w:color="D5C8B6" w:themeColor="accent3"/>
        <w:insideV w:val="single" w:sz="8" w:space="0" w:color="D5C8B6" w:themeColor="accent3"/>
      </w:tblBorders>
    </w:tblPr>
    <w:tcPr>
      <w:shd w:val="clear" w:color="auto" w:fill="F4F1EC"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9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4F0" w:themeFill="accent3" w:themeFillTint="33"/>
      </w:tcPr>
    </w:tblStylePr>
    <w:tblStylePr w:type="band1Vert">
      <w:tblPr/>
      <w:tcPr>
        <w:shd w:val="clear" w:color="auto" w:fill="EAE3DA" w:themeFill="accent3" w:themeFillTint="7F"/>
      </w:tcPr>
    </w:tblStylePr>
    <w:tblStylePr w:type="band1Horz">
      <w:tblPr/>
      <w:tcPr>
        <w:tcBorders>
          <w:insideH w:val="single" w:sz="6" w:space="0" w:color="D5C8B6" w:themeColor="accent3"/>
          <w:insideV w:val="single" w:sz="6" w:space="0" w:color="D5C8B6" w:themeColor="accent3"/>
        </w:tcBorders>
        <w:shd w:val="clear" w:color="auto" w:fill="EAE3D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889EA6" w:themeColor="accent4"/>
        <w:left w:val="single" w:sz="8" w:space="0" w:color="889EA6" w:themeColor="accent4"/>
        <w:bottom w:val="single" w:sz="8" w:space="0" w:color="889EA6" w:themeColor="accent4"/>
        <w:right w:val="single" w:sz="8" w:space="0" w:color="889EA6" w:themeColor="accent4"/>
        <w:insideH w:val="single" w:sz="8" w:space="0" w:color="889EA6" w:themeColor="accent4"/>
        <w:insideV w:val="single" w:sz="8" w:space="0" w:color="889EA6" w:themeColor="accent4"/>
      </w:tblBorders>
    </w:tblPr>
    <w:tcPr>
      <w:shd w:val="clear" w:color="auto" w:fill="E1E6E9" w:themeFill="accent4" w:themeFillTint="3F"/>
      <w:tcMar>
        <w:top w:w="57" w:type="dxa"/>
        <w:left w:w="57" w:type="dxa"/>
        <w:bottom w:w="57" w:type="dxa"/>
        <w:right w:w="57" w:type="dxa"/>
      </w:tcMar>
    </w:tcPr>
    <w:tblStylePr w:type="firstRow">
      <w:rPr>
        <w:rFonts w:asciiTheme="majorHAnsi" w:hAnsiTheme="majorHAnsi"/>
        <w:b/>
        <w:bCs/>
      </w:rPr>
      <w:tblPr/>
      <w:tcPr>
        <w:shd w:val="clear" w:color="auto" w:fill="F3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BED" w:themeFill="accent4" w:themeFillTint="33"/>
      </w:tcPr>
    </w:tblStylePr>
    <w:tblStylePr w:type="band1Vert">
      <w:tblPr/>
      <w:tcPr>
        <w:shd w:val="clear" w:color="auto" w:fill="C3CED2" w:themeFill="accent4" w:themeFillTint="7F"/>
      </w:tcPr>
    </w:tblStylePr>
    <w:tblStylePr w:type="band1Horz">
      <w:tblPr/>
      <w:tcPr>
        <w:tcBorders>
          <w:insideH w:val="single" w:sz="6" w:space="0" w:color="889EA6" w:themeColor="accent4"/>
          <w:insideV w:val="single" w:sz="6" w:space="0" w:color="889EA6" w:themeColor="accent4"/>
        </w:tcBorders>
        <w:shd w:val="clear" w:color="auto" w:fill="C3CE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B8D0EC" w:themeColor="accent5"/>
        <w:left w:val="single" w:sz="8" w:space="0" w:color="B8D0EC" w:themeColor="accent5"/>
        <w:bottom w:val="single" w:sz="8" w:space="0" w:color="B8D0EC" w:themeColor="accent5"/>
        <w:right w:val="single" w:sz="8" w:space="0" w:color="B8D0EC" w:themeColor="accent5"/>
        <w:insideH w:val="single" w:sz="8" w:space="0" w:color="B8D0EC" w:themeColor="accent5"/>
        <w:insideV w:val="single" w:sz="8" w:space="0" w:color="B8D0EC" w:themeColor="accent5"/>
      </w:tblBorders>
    </w:tblPr>
    <w:tcPr>
      <w:shd w:val="clear" w:color="auto" w:fill="EDF3FA" w:themeFill="accent5" w:themeFillTint="3F"/>
      <w:tcMar>
        <w:top w:w="57" w:type="dxa"/>
        <w:left w:w="57" w:type="dxa"/>
        <w:bottom w:w="57" w:type="dxa"/>
        <w:right w:w="57" w:type="dxa"/>
      </w:tcMar>
    </w:tcPr>
    <w:tblStylePr w:type="firstRow">
      <w:rPr>
        <w:rFonts w:asciiTheme="majorHAnsi" w:hAnsiTheme="majorHAnsi"/>
        <w:b/>
        <w:bCs/>
      </w:rPr>
      <w:tblPr/>
      <w:tcPr>
        <w:shd w:val="clear" w:color="auto" w:fill="F7FA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F5FB" w:themeFill="accent5" w:themeFillTint="33"/>
      </w:tcPr>
    </w:tblStylePr>
    <w:tblStylePr w:type="band1Vert">
      <w:tblPr/>
      <w:tcPr>
        <w:shd w:val="clear" w:color="auto" w:fill="DBE7F5" w:themeFill="accent5" w:themeFillTint="7F"/>
      </w:tcPr>
    </w:tblStylePr>
    <w:tblStylePr w:type="band1Horz">
      <w:tblPr/>
      <w:tcPr>
        <w:tcBorders>
          <w:insideH w:val="single" w:sz="6" w:space="0" w:color="B8D0EC" w:themeColor="accent5"/>
          <w:insideV w:val="single" w:sz="6" w:space="0" w:color="B8D0EC" w:themeColor="accent5"/>
        </w:tcBorders>
        <w:shd w:val="clear" w:color="auto" w:fill="DBE7F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C4EC9A" w:themeColor="accent6"/>
        <w:left w:val="single" w:sz="8" w:space="0" w:color="C4EC9A" w:themeColor="accent6"/>
        <w:bottom w:val="single" w:sz="8" w:space="0" w:color="C4EC9A" w:themeColor="accent6"/>
        <w:right w:val="single" w:sz="8" w:space="0" w:color="C4EC9A" w:themeColor="accent6"/>
        <w:insideH w:val="single" w:sz="8" w:space="0" w:color="C4EC9A" w:themeColor="accent6"/>
        <w:insideV w:val="single" w:sz="8" w:space="0" w:color="C4EC9A" w:themeColor="accent6"/>
      </w:tblBorders>
    </w:tblPr>
    <w:tcPr>
      <w:shd w:val="clear" w:color="auto" w:fill="F0FAE6" w:themeFill="accent6" w:themeFillTint="3F"/>
      <w:tcMar>
        <w:top w:w="57" w:type="dxa"/>
        <w:left w:w="57" w:type="dxa"/>
        <w:bottom w:w="57" w:type="dxa"/>
        <w:right w:w="57" w:type="dxa"/>
      </w:tcMar>
    </w:tcPr>
    <w:tblStylePr w:type="firstRow">
      <w:rPr>
        <w:rFonts w:asciiTheme="majorHAnsi" w:hAnsiTheme="majorHAnsi"/>
        <w:b/>
        <w:bCs/>
      </w:rPr>
      <w:tblPr/>
      <w:tcPr>
        <w:shd w:val="clear" w:color="auto" w:fill="F9FD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BEA" w:themeFill="accent6" w:themeFillTint="33"/>
      </w:tcPr>
    </w:tblStylePr>
    <w:tblStylePr w:type="band1Vert">
      <w:tblPr/>
      <w:tcPr>
        <w:shd w:val="clear" w:color="auto" w:fill="E1F5CC" w:themeFill="accent6" w:themeFillTint="7F"/>
      </w:tcPr>
    </w:tblStylePr>
    <w:tblStylePr w:type="band1Horz">
      <w:tblPr/>
      <w:tcPr>
        <w:tcBorders>
          <w:insideH w:val="single" w:sz="6" w:space="0" w:color="C4EC9A" w:themeColor="accent6"/>
          <w:insideV w:val="single" w:sz="6" w:space="0" w:color="C4EC9A" w:themeColor="accent6"/>
        </w:tcBorders>
        <w:shd w:val="clear" w:color="auto" w:fill="E1F5C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D0835"/>
    <w:pPr>
      <w:spacing w:line="240" w:lineRule="atLeast"/>
    </w:pPr>
    <w:rPr>
      <w:rFonts w:eastAsia="MS Mincho"/>
      <w:color w:val="000000" w:themeColor="text2"/>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D0835"/>
    <w:pPr>
      <w:spacing w:line="240" w:lineRule="atLeast"/>
    </w:pPr>
    <w:rPr>
      <w:rFonts w:eastAsia="MS Mincho"/>
      <w:color w:val="000000" w:themeColor="text2"/>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D1D8"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313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313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313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313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A4B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A4B0" w:themeFill="accent1" w:themeFillTint="7F"/>
      </w:tcPr>
    </w:tblStylePr>
  </w:style>
  <w:style w:type="table" w:styleId="MediumGrid3-Accent2">
    <w:name w:val="Medium Grid 3 Accent 2"/>
    <w:basedOn w:val="TableNormal"/>
    <w:uiPriority w:val="69"/>
    <w:rsid w:val="00DD0835"/>
    <w:pPr>
      <w:spacing w:line="240" w:lineRule="atLeast"/>
    </w:pPr>
    <w:rPr>
      <w:rFonts w:eastAsia="MS Mincho"/>
      <w:color w:val="000000" w:themeColor="text2"/>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EDB"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FC7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FC7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FC7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FC7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FDB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FDB7" w:themeFill="accent2" w:themeFillTint="7F"/>
      </w:tcPr>
    </w:tblStylePr>
  </w:style>
  <w:style w:type="table" w:styleId="MediumGrid3-Accent3">
    <w:name w:val="Medium Grid 3 Accent 3"/>
    <w:basedOn w:val="TableNormal"/>
    <w:uiPriority w:val="69"/>
    <w:rsid w:val="00DD0835"/>
    <w:pPr>
      <w:spacing w:line="240" w:lineRule="atLeast"/>
    </w:pPr>
    <w:rPr>
      <w:rFonts w:eastAsia="MS Mincho"/>
      <w:color w:val="000000" w:themeColor="text2"/>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1EC"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C8B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C8B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C8B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C8B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E3D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E3DA" w:themeFill="accent3" w:themeFillTint="7F"/>
      </w:tcPr>
    </w:tblStylePr>
  </w:style>
  <w:style w:type="table" w:styleId="MediumGrid3-Accent4">
    <w:name w:val="Medium Grid 3 Accent 4"/>
    <w:basedOn w:val="TableNormal"/>
    <w:uiPriority w:val="69"/>
    <w:rsid w:val="00DD0835"/>
    <w:pPr>
      <w:spacing w:line="240" w:lineRule="atLeast"/>
    </w:pPr>
    <w:rPr>
      <w:rFonts w:eastAsia="MS Mincho"/>
      <w:color w:val="000000" w:themeColor="text2"/>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6E9"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9E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9E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9E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9E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CE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CED2" w:themeFill="accent4" w:themeFillTint="7F"/>
      </w:tcPr>
    </w:tblStylePr>
  </w:style>
  <w:style w:type="table" w:styleId="MediumGrid3-Accent5">
    <w:name w:val="Medium Grid 3 Accent 5"/>
    <w:basedOn w:val="TableNormal"/>
    <w:uiPriority w:val="69"/>
    <w:rsid w:val="00DD0835"/>
    <w:pPr>
      <w:spacing w:line="240" w:lineRule="atLeast"/>
    </w:pPr>
    <w:rPr>
      <w:rFonts w:eastAsia="MS Mincho"/>
      <w:color w:val="000000" w:themeColor="text2"/>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3FA"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D0E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D0E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D0E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D0E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E7F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E7F5" w:themeFill="accent5" w:themeFillTint="7F"/>
      </w:tcPr>
    </w:tblStylePr>
  </w:style>
  <w:style w:type="table" w:styleId="MediumGrid3-Accent6">
    <w:name w:val="Medium Grid 3 Accent 6"/>
    <w:basedOn w:val="TableNormal"/>
    <w:uiPriority w:val="69"/>
    <w:rsid w:val="00DD0835"/>
    <w:pPr>
      <w:spacing w:line="240" w:lineRule="atLeast"/>
    </w:pPr>
    <w:rPr>
      <w:rFonts w:eastAsia="MS Mincho"/>
      <w:color w:val="000000" w:themeColor="text2"/>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AE6"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EC9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EC9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EC9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EC9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F5C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F5CC" w:themeFill="accent6" w:themeFillTint="7F"/>
      </w:tcPr>
    </w:tblStylePr>
  </w:style>
  <w:style w:type="table" w:styleId="MediumList1">
    <w:name w:val="Medium List 1"/>
    <w:basedOn w:val="TableNormal"/>
    <w:uiPriority w:val="65"/>
    <w:rsid w:val="00DD0835"/>
    <w:pPr>
      <w:spacing w:line="240" w:lineRule="atLeast"/>
    </w:pPr>
    <w:rPr>
      <w:rFonts w:eastAsia="MS Mincho"/>
      <w:color w:val="000000" w:themeColor="text1"/>
      <w:sz w:val="18"/>
      <w:szCs w:val="18"/>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D0835"/>
    <w:pPr>
      <w:spacing w:line="240" w:lineRule="atLeast"/>
    </w:pPr>
    <w:rPr>
      <w:rFonts w:eastAsia="MS Mincho"/>
      <w:color w:val="000000" w:themeColor="text1"/>
      <w:sz w:val="18"/>
      <w:szCs w:val="18"/>
    </w:rPr>
    <w:tblPr>
      <w:tblStyleRowBandSize w:val="1"/>
      <w:tblStyleColBandSize w:val="1"/>
      <w:tblBorders>
        <w:top w:val="single" w:sz="8" w:space="0" w:color="203136" w:themeColor="accent1"/>
        <w:bottom w:val="single" w:sz="8" w:space="0" w:color="203136"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203136" w:themeColor="accent1"/>
        </w:tcBorders>
      </w:tcPr>
    </w:tblStylePr>
    <w:tblStylePr w:type="lastRow">
      <w:rPr>
        <w:b/>
        <w:bCs/>
        <w:color w:val="000000" w:themeColor="text2"/>
      </w:rPr>
      <w:tblPr/>
      <w:tcPr>
        <w:tcBorders>
          <w:top w:val="single" w:sz="8" w:space="0" w:color="203136" w:themeColor="accent1"/>
          <w:bottom w:val="single" w:sz="8" w:space="0" w:color="203136" w:themeColor="accent1"/>
        </w:tcBorders>
      </w:tcPr>
    </w:tblStylePr>
    <w:tblStylePr w:type="firstCol">
      <w:rPr>
        <w:b/>
        <w:bCs/>
      </w:rPr>
    </w:tblStylePr>
    <w:tblStylePr w:type="lastCol">
      <w:rPr>
        <w:b/>
        <w:bCs/>
      </w:rPr>
      <w:tblPr/>
      <w:tcPr>
        <w:tcBorders>
          <w:top w:val="single" w:sz="8" w:space="0" w:color="203136" w:themeColor="accent1"/>
          <w:bottom w:val="single" w:sz="8" w:space="0" w:color="203136" w:themeColor="accent1"/>
        </w:tcBorders>
      </w:tcPr>
    </w:tblStylePr>
    <w:tblStylePr w:type="band1Vert">
      <w:tblPr/>
      <w:tcPr>
        <w:shd w:val="clear" w:color="auto" w:fill="BDD1D8" w:themeFill="accent1" w:themeFillTint="3F"/>
      </w:tcPr>
    </w:tblStylePr>
    <w:tblStylePr w:type="band1Horz">
      <w:tblPr/>
      <w:tcPr>
        <w:shd w:val="clear" w:color="auto" w:fill="BDD1D8" w:themeFill="accent1" w:themeFillTint="3F"/>
      </w:tcPr>
    </w:tblStylePr>
  </w:style>
  <w:style w:type="table" w:styleId="MediumList1-Accent2">
    <w:name w:val="Medium List 1 Accent 2"/>
    <w:basedOn w:val="TableNormal"/>
    <w:uiPriority w:val="65"/>
    <w:rsid w:val="00DD0835"/>
    <w:pPr>
      <w:spacing w:line="240" w:lineRule="atLeast"/>
    </w:pPr>
    <w:rPr>
      <w:rFonts w:eastAsia="MS Mincho"/>
      <w:color w:val="000000" w:themeColor="text1"/>
      <w:sz w:val="18"/>
      <w:szCs w:val="18"/>
    </w:rPr>
    <w:tblPr>
      <w:tblStyleRowBandSize w:val="1"/>
      <w:tblStyleColBandSize w:val="1"/>
      <w:tblBorders>
        <w:top w:val="single" w:sz="8" w:space="0" w:color="DDFC70" w:themeColor="accent2"/>
        <w:bottom w:val="single" w:sz="8" w:space="0" w:color="DDFC70"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DFC70" w:themeColor="accent2"/>
        </w:tcBorders>
      </w:tcPr>
    </w:tblStylePr>
    <w:tblStylePr w:type="lastRow">
      <w:rPr>
        <w:b/>
        <w:bCs/>
        <w:color w:val="000000" w:themeColor="text2"/>
      </w:rPr>
      <w:tblPr/>
      <w:tcPr>
        <w:tcBorders>
          <w:top w:val="single" w:sz="8" w:space="0" w:color="DDFC70" w:themeColor="accent2"/>
          <w:bottom w:val="single" w:sz="8" w:space="0" w:color="DDFC70" w:themeColor="accent2"/>
        </w:tcBorders>
      </w:tcPr>
    </w:tblStylePr>
    <w:tblStylePr w:type="firstCol">
      <w:rPr>
        <w:b/>
        <w:bCs/>
      </w:rPr>
    </w:tblStylePr>
    <w:tblStylePr w:type="lastCol">
      <w:rPr>
        <w:b/>
        <w:bCs/>
      </w:rPr>
      <w:tblPr/>
      <w:tcPr>
        <w:tcBorders>
          <w:top w:val="single" w:sz="8" w:space="0" w:color="DDFC70" w:themeColor="accent2"/>
          <w:bottom w:val="single" w:sz="8" w:space="0" w:color="DDFC70" w:themeColor="accent2"/>
        </w:tcBorders>
      </w:tcPr>
    </w:tblStylePr>
    <w:tblStylePr w:type="band1Vert">
      <w:tblPr/>
      <w:tcPr>
        <w:shd w:val="clear" w:color="auto" w:fill="F6FEDB" w:themeFill="accent2" w:themeFillTint="3F"/>
      </w:tcPr>
    </w:tblStylePr>
    <w:tblStylePr w:type="band1Horz">
      <w:tblPr/>
      <w:tcPr>
        <w:shd w:val="clear" w:color="auto" w:fill="F6FEDB" w:themeFill="accent2" w:themeFillTint="3F"/>
      </w:tcPr>
    </w:tblStylePr>
  </w:style>
  <w:style w:type="table" w:styleId="MediumList1-Accent3">
    <w:name w:val="Medium List 1 Accent 3"/>
    <w:basedOn w:val="TableNormal"/>
    <w:uiPriority w:val="65"/>
    <w:rsid w:val="00DD0835"/>
    <w:pPr>
      <w:spacing w:line="240" w:lineRule="atLeast"/>
    </w:pPr>
    <w:rPr>
      <w:rFonts w:eastAsia="MS Mincho"/>
      <w:color w:val="000000" w:themeColor="text1"/>
      <w:sz w:val="18"/>
      <w:szCs w:val="18"/>
    </w:rPr>
    <w:tblPr>
      <w:tblStyleRowBandSize w:val="1"/>
      <w:tblStyleColBandSize w:val="1"/>
      <w:tblBorders>
        <w:top w:val="single" w:sz="8" w:space="0" w:color="D5C8B6" w:themeColor="accent3"/>
        <w:bottom w:val="single" w:sz="8" w:space="0" w:color="D5C8B6"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5C8B6" w:themeColor="accent3"/>
        </w:tcBorders>
      </w:tcPr>
    </w:tblStylePr>
    <w:tblStylePr w:type="lastRow">
      <w:rPr>
        <w:b/>
        <w:bCs/>
        <w:color w:val="000000" w:themeColor="text2"/>
      </w:rPr>
      <w:tblPr/>
      <w:tcPr>
        <w:tcBorders>
          <w:top w:val="single" w:sz="8" w:space="0" w:color="D5C8B6" w:themeColor="accent3"/>
          <w:bottom w:val="single" w:sz="8" w:space="0" w:color="D5C8B6" w:themeColor="accent3"/>
        </w:tcBorders>
      </w:tcPr>
    </w:tblStylePr>
    <w:tblStylePr w:type="firstCol">
      <w:rPr>
        <w:b/>
        <w:bCs/>
      </w:rPr>
    </w:tblStylePr>
    <w:tblStylePr w:type="lastCol">
      <w:rPr>
        <w:b/>
        <w:bCs/>
      </w:rPr>
      <w:tblPr/>
      <w:tcPr>
        <w:tcBorders>
          <w:top w:val="single" w:sz="8" w:space="0" w:color="D5C8B6" w:themeColor="accent3"/>
          <w:bottom w:val="single" w:sz="8" w:space="0" w:color="D5C8B6" w:themeColor="accent3"/>
        </w:tcBorders>
      </w:tcPr>
    </w:tblStylePr>
    <w:tblStylePr w:type="band1Vert">
      <w:tblPr/>
      <w:tcPr>
        <w:shd w:val="clear" w:color="auto" w:fill="F4F1EC" w:themeFill="accent3" w:themeFillTint="3F"/>
      </w:tcPr>
    </w:tblStylePr>
    <w:tblStylePr w:type="band1Horz">
      <w:tblPr/>
      <w:tcPr>
        <w:shd w:val="clear" w:color="auto" w:fill="F4F1EC" w:themeFill="accent3" w:themeFillTint="3F"/>
      </w:tcPr>
    </w:tblStylePr>
  </w:style>
  <w:style w:type="table" w:styleId="MediumList1-Accent4">
    <w:name w:val="Medium List 1 Accent 4"/>
    <w:basedOn w:val="TableNormal"/>
    <w:uiPriority w:val="65"/>
    <w:rsid w:val="00DD0835"/>
    <w:pPr>
      <w:spacing w:line="240" w:lineRule="atLeast"/>
    </w:pPr>
    <w:rPr>
      <w:rFonts w:eastAsia="MS Mincho"/>
      <w:color w:val="000000" w:themeColor="text1"/>
      <w:sz w:val="18"/>
      <w:szCs w:val="18"/>
    </w:rPr>
    <w:tblPr>
      <w:tblStyleRowBandSize w:val="1"/>
      <w:tblStyleColBandSize w:val="1"/>
      <w:tblBorders>
        <w:top w:val="single" w:sz="8" w:space="0" w:color="889EA6" w:themeColor="accent4"/>
        <w:bottom w:val="single" w:sz="8" w:space="0" w:color="889EA6"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889EA6" w:themeColor="accent4"/>
        </w:tcBorders>
      </w:tcPr>
    </w:tblStylePr>
    <w:tblStylePr w:type="lastRow">
      <w:rPr>
        <w:b/>
        <w:bCs/>
        <w:color w:val="000000" w:themeColor="text2"/>
      </w:rPr>
      <w:tblPr/>
      <w:tcPr>
        <w:tcBorders>
          <w:top w:val="single" w:sz="8" w:space="0" w:color="889EA6" w:themeColor="accent4"/>
          <w:bottom w:val="single" w:sz="8" w:space="0" w:color="889EA6" w:themeColor="accent4"/>
        </w:tcBorders>
      </w:tcPr>
    </w:tblStylePr>
    <w:tblStylePr w:type="firstCol">
      <w:rPr>
        <w:b/>
        <w:bCs/>
      </w:rPr>
    </w:tblStylePr>
    <w:tblStylePr w:type="lastCol">
      <w:rPr>
        <w:b/>
        <w:bCs/>
      </w:rPr>
      <w:tblPr/>
      <w:tcPr>
        <w:tcBorders>
          <w:top w:val="single" w:sz="8" w:space="0" w:color="889EA6" w:themeColor="accent4"/>
          <w:bottom w:val="single" w:sz="8" w:space="0" w:color="889EA6" w:themeColor="accent4"/>
        </w:tcBorders>
      </w:tcPr>
    </w:tblStylePr>
    <w:tblStylePr w:type="band1Vert">
      <w:tblPr/>
      <w:tcPr>
        <w:shd w:val="clear" w:color="auto" w:fill="E1E6E9" w:themeFill="accent4" w:themeFillTint="3F"/>
      </w:tcPr>
    </w:tblStylePr>
    <w:tblStylePr w:type="band1Horz">
      <w:tblPr/>
      <w:tcPr>
        <w:shd w:val="clear" w:color="auto" w:fill="E1E6E9" w:themeFill="accent4" w:themeFillTint="3F"/>
      </w:tcPr>
    </w:tblStylePr>
  </w:style>
  <w:style w:type="table" w:styleId="MediumList1-Accent5">
    <w:name w:val="Medium List 1 Accent 5"/>
    <w:basedOn w:val="TableNormal"/>
    <w:uiPriority w:val="65"/>
    <w:rsid w:val="00DD0835"/>
    <w:pPr>
      <w:spacing w:line="240" w:lineRule="atLeast"/>
    </w:pPr>
    <w:rPr>
      <w:rFonts w:eastAsia="MS Mincho"/>
      <w:color w:val="000000" w:themeColor="text1"/>
      <w:sz w:val="18"/>
      <w:szCs w:val="18"/>
    </w:rPr>
    <w:tblPr>
      <w:tblStyleRowBandSize w:val="1"/>
      <w:tblStyleColBandSize w:val="1"/>
      <w:tblBorders>
        <w:top w:val="single" w:sz="8" w:space="0" w:color="B8D0EC" w:themeColor="accent5"/>
        <w:bottom w:val="single" w:sz="8" w:space="0" w:color="B8D0EC"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B8D0EC" w:themeColor="accent5"/>
        </w:tcBorders>
      </w:tcPr>
    </w:tblStylePr>
    <w:tblStylePr w:type="lastRow">
      <w:rPr>
        <w:b/>
        <w:bCs/>
        <w:color w:val="000000" w:themeColor="text2"/>
      </w:rPr>
      <w:tblPr/>
      <w:tcPr>
        <w:tcBorders>
          <w:top w:val="single" w:sz="8" w:space="0" w:color="B8D0EC" w:themeColor="accent5"/>
          <w:bottom w:val="single" w:sz="8" w:space="0" w:color="B8D0EC" w:themeColor="accent5"/>
        </w:tcBorders>
      </w:tcPr>
    </w:tblStylePr>
    <w:tblStylePr w:type="firstCol">
      <w:rPr>
        <w:b/>
        <w:bCs/>
      </w:rPr>
    </w:tblStylePr>
    <w:tblStylePr w:type="lastCol">
      <w:rPr>
        <w:b/>
        <w:bCs/>
      </w:rPr>
      <w:tblPr/>
      <w:tcPr>
        <w:tcBorders>
          <w:top w:val="single" w:sz="8" w:space="0" w:color="B8D0EC" w:themeColor="accent5"/>
          <w:bottom w:val="single" w:sz="8" w:space="0" w:color="B8D0EC" w:themeColor="accent5"/>
        </w:tcBorders>
      </w:tcPr>
    </w:tblStylePr>
    <w:tblStylePr w:type="band1Vert">
      <w:tblPr/>
      <w:tcPr>
        <w:shd w:val="clear" w:color="auto" w:fill="EDF3FA" w:themeFill="accent5" w:themeFillTint="3F"/>
      </w:tcPr>
    </w:tblStylePr>
    <w:tblStylePr w:type="band1Horz">
      <w:tblPr/>
      <w:tcPr>
        <w:shd w:val="clear" w:color="auto" w:fill="EDF3FA" w:themeFill="accent5" w:themeFillTint="3F"/>
      </w:tcPr>
    </w:tblStylePr>
  </w:style>
  <w:style w:type="table" w:styleId="MediumList1-Accent6">
    <w:name w:val="Medium List 1 Accent 6"/>
    <w:basedOn w:val="TableNormal"/>
    <w:uiPriority w:val="65"/>
    <w:rsid w:val="00DD0835"/>
    <w:pPr>
      <w:spacing w:line="240" w:lineRule="atLeast"/>
    </w:pPr>
    <w:rPr>
      <w:rFonts w:eastAsia="MS Mincho"/>
      <w:color w:val="000000" w:themeColor="text1"/>
      <w:sz w:val="18"/>
      <w:szCs w:val="18"/>
    </w:rPr>
    <w:tblPr>
      <w:tblStyleRowBandSize w:val="1"/>
      <w:tblStyleColBandSize w:val="1"/>
      <w:tblBorders>
        <w:top w:val="single" w:sz="8" w:space="0" w:color="C4EC9A" w:themeColor="accent6"/>
        <w:bottom w:val="single" w:sz="8" w:space="0" w:color="C4EC9A"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C4EC9A" w:themeColor="accent6"/>
        </w:tcBorders>
      </w:tcPr>
    </w:tblStylePr>
    <w:tblStylePr w:type="lastRow">
      <w:rPr>
        <w:b/>
        <w:bCs/>
        <w:color w:val="000000" w:themeColor="text2"/>
      </w:rPr>
      <w:tblPr/>
      <w:tcPr>
        <w:tcBorders>
          <w:top w:val="single" w:sz="8" w:space="0" w:color="C4EC9A" w:themeColor="accent6"/>
          <w:bottom w:val="single" w:sz="8" w:space="0" w:color="C4EC9A" w:themeColor="accent6"/>
        </w:tcBorders>
      </w:tcPr>
    </w:tblStylePr>
    <w:tblStylePr w:type="firstCol">
      <w:rPr>
        <w:b/>
        <w:bCs/>
      </w:rPr>
    </w:tblStylePr>
    <w:tblStylePr w:type="lastCol">
      <w:rPr>
        <w:b/>
        <w:bCs/>
      </w:rPr>
      <w:tblPr/>
      <w:tcPr>
        <w:tcBorders>
          <w:top w:val="single" w:sz="8" w:space="0" w:color="C4EC9A" w:themeColor="accent6"/>
          <w:bottom w:val="single" w:sz="8" w:space="0" w:color="C4EC9A" w:themeColor="accent6"/>
        </w:tcBorders>
      </w:tcPr>
    </w:tblStylePr>
    <w:tblStylePr w:type="band1Vert">
      <w:tblPr/>
      <w:tcPr>
        <w:shd w:val="clear" w:color="auto" w:fill="F0FAE6" w:themeFill="accent6" w:themeFillTint="3F"/>
      </w:tcPr>
    </w:tblStylePr>
    <w:tblStylePr w:type="band1Horz">
      <w:tblPr/>
      <w:tcPr>
        <w:shd w:val="clear" w:color="auto" w:fill="F0FAE6" w:themeFill="accent6" w:themeFillTint="3F"/>
      </w:tcPr>
    </w:tblStylePr>
  </w:style>
  <w:style w:type="table" w:styleId="MediumList2">
    <w:name w:val="Medium List 2"/>
    <w:basedOn w:val="TableNormal"/>
    <w:uiPriority w:val="66"/>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203136" w:themeColor="accent1"/>
        <w:left w:val="single" w:sz="8" w:space="0" w:color="203136" w:themeColor="accent1"/>
        <w:bottom w:val="single" w:sz="8" w:space="0" w:color="203136" w:themeColor="accent1"/>
        <w:right w:val="single" w:sz="8" w:space="0" w:color="203136"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203136" w:themeColor="accent1"/>
          <w:right w:val="nil"/>
          <w:insideH w:val="nil"/>
          <w:insideV w:val="nil"/>
        </w:tcBorders>
        <w:shd w:val="clear" w:color="auto" w:fill="FFFFFF" w:themeFill="background1"/>
      </w:tcPr>
    </w:tblStylePr>
    <w:tblStylePr w:type="lastRow">
      <w:tblPr/>
      <w:tcPr>
        <w:tcBorders>
          <w:top w:val="single" w:sz="8" w:space="0" w:color="20313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3136" w:themeColor="accent1"/>
          <w:insideH w:val="nil"/>
          <w:insideV w:val="nil"/>
        </w:tcBorders>
        <w:shd w:val="clear" w:color="auto" w:fill="FFFFFF" w:themeFill="background1"/>
      </w:tcPr>
    </w:tblStylePr>
    <w:tblStylePr w:type="lastCol">
      <w:tblPr/>
      <w:tcPr>
        <w:tcBorders>
          <w:top w:val="nil"/>
          <w:left w:val="single" w:sz="8" w:space="0" w:color="20313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D1D8" w:themeFill="accent1" w:themeFillTint="3F"/>
      </w:tcPr>
    </w:tblStylePr>
    <w:tblStylePr w:type="band1Horz">
      <w:tblPr/>
      <w:tcPr>
        <w:tcBorders>
          <w:top w:val="nil"/>
          <w:bottom w:val="nil"/>
          <w:insideH w:val="nil"/>
          <w:insideV w:val="nil"/>
        </w:tcBorders>
        <w:shd w:val="clear" w:color="auto" w:fill="BDD1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DDFC70" w:themeColor="accent2"/>
        <w:left w:val="single" w:sz="8" w:space="0" w:color="DDFC70" w:themeColor="accent2"/>
        <w:bottom w:val="single" w:sz="8" w:space="0" w:color="DDFC70" w:themeColor="accent2"/>
        <w:right w:val="single" w:sz="8" w:space="0" w:color="DDFC70"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DFC70" w:themeColor="accent2"/>
          <w:right w:val="nil"/>
          <w:insideH w:val="nil"/>
          <w:insideV w:val="nil"/>
        </w:tcBorders>
        <w:shd w:val="clear" w:color="auto" w:fill="FFFFFF" w:themeFill="background1"/>
      </w:tcPr>
    </w:tblStylePr>
    <w:tblStylePr w:type="lastRow">
      <w:tblPr/>
      <w:tcPr>
        <w:tcBorders>
          <w:top w:val="single" w:sz="8" w:space="0" w:color="DDFC7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FC70" w:themeColor="accent2"/>
          <w:insideH w:val="nil"/>
          <w:insideV w:val="nil"/>
        </w:tcBorders>
        <w:shd w:val="clear" w:color="auto" w:fill="FFFFFF" w:themeFill="background1"/>
      </w:tcPr>
    </w:tblStylePr>
    <w:tblStylePr w:type="lastCol">
      <w:tblPr/>
      <w:tcPr>
        <w:tcBorders>
          <w:top w:val="nil"/>
          <w:left w:val="single" w:sz="8" w:space="0" w:color="DDFC7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EDB" w:themeFill="accent2" w:themeFillTint="3F"/>
      </w:tcPr>
    </w:tblStylePr>
    <w:tblStylePr w:type="band1Horz">
      <w:tblPr/>
      <w:tcPr>
        <w:tcBorders>
          <w:top w:val="nil"/>
          <w:bottom w:val="nil"/>
          <w:insideH w:val="nil"/>
          <w:insideV w:val="nil"/>
        </w:tcBorders>
        <w:shd w:val="clear" w:color="auto" w:fill="F6FE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D5C8B6" w:themeColor="accent3"/>
        <w:left w:val="single" w:sz="8" w:space="0" w:color="D5C8B6" w:themeColor="accent3"/>
        <w:bottom w:val="single" w:sz="8" w:space="0" w:color="D5C8B6" w:themeColor="accent3"/>
        <w:right w:val="single" w:sz="8" w:space="0" w:color="D5C8B6"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5C8B6" w:themeColor="accent3"/>
          <w:right w:val="nil"/>
          <w:insideH w:val="nil"/>
          <w:insideV w:val="nil"/>
        </w:tcBorders>
        <w:shd w:val="clear" w:color="auto" w:fill="FFFFFF" w:themeFill="background1"/>
      </w:tcPr>
    </w:tblStylePr>
    <w:tblStylePr w:type="lastRow">
      <w:tblPr/>
      <w:tcPr>
        <w:tcBorders>
          <w:top w:val="single" w:sz="8" w:space="0" w:color="D5C8B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C8B6" w:themeColor="accent3"/>
          <w:insideH w:val="nil"/>
          <w:insideV w:val="nil"/>
        </w:tcBorders>
        <w:shd w:val="clear" w:color="auto" w:fill="FFFFFF" w:themeFill="background1"/>
      </w:tcPr>
    </w:tblStylePr>
    <w:tblStylePr w:type="lastCol">
      <w:tblPr/>
      <w:tcPr>
        <w:tcBorders>
          <w:top w:val="nil"/>
          <w:left w:val="single" w:sz="8" w:space="0" w:color="D5C8B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1EC" w:themeFill="accent3" w:themeFillTint="3F"/>
      </w:tcPr>
    </w:tblStylePr>
    <w:tblStylePr w:type="band1Horz">
      <w:tblPr/>
      <w:tcPr>
        <w:tcBorders>
          <w:top w:val="nil"/>
          <w:bottom w:val="nil"/>
          <w:insideH w:val="nil"/>
          <w:insideV w:val="nil"/>
        </w:tcBorders>
        <w:shd w:val="clear" w:color="auto" w:fill="F4F1E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889EA6" w:themeColor="accent4"/>
        <w:left w:val="single" w:sz="8" w:space="0" w:color="889EA6" w:themeColor="accent4"/>
        <w:bottom w:val="single" w:sz="8" w:space="0" w:color="889EA6" w:themeColor="accent4"/>
        <w:right w:val="single" w:sz="8" w:space="0" w:color="889EA6"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889EA6" w:themeColor="accent4"/>
          <w:right w:val="nil"/>
          <w:insideH w:val="nil"/>
          <w:insideV w:val="nil"/>
        </w:tcBorders>
        <w:shd w:val="clear" w:color="auto" w:fill="FFFFFF" w:themeFill="background1"/>
      </w:tcPr>
    </w:tblStylePr>
    <w:tblStylePr w:type="lastRow">
      <w:tblPr/>
      <w:tcPr>
        <w:tcBorders>
          <w:top w:val="single" w:sz="8" w:space="0" w:color="889EA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9EA6" w:themeColor="accent4"/>
          <w:insideH w:val="nil"/>
          <w:insideV w:val="nil"/>
        </w:tcBorders>
        <w:shd w:val="clear" w:color="auto" w:fill="FFFFFF" w:themeFill="background1"/>
      </w:tcPr>
    </w:tblStylePr>
    <w:tblStylePr w:type="lastCol">
      <w:tblPr/>
      <w:tcPr>
        <w:tcBorders>
          <w:top w:val="nil"/>
          <w:left w:val="single" w:sz="8" w:space="0" w:color="889E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6E9" w:themeFill="accent4" w:themeFillTint="3F"/>
      </w:tcPr>
    </w:tblStylePr>
    <w:tblStylePr w:type="band1Horz">
      <w:tblPr/>
      <w:tcPr>
        <w:tcBorders>
          <w:top w:val="nil"/>
          <w:bottom w:val="nil"/>
          <w:insideH w:val="nil"/>
          <w:insideV w:val="nil"/>
        </w:tcBorders>
        <w:shd w:val="clear" w:color="auto" w:fill="E1E6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B8D0EC" w:themeColor="accent5"/>
        <w:left w:val="single" w:sz="8" w:space="0" w:color="B8D0EC" w:themeColor="accent5"/>
        <w:bottom w:val="single" w:sz="8" w:space="0" w:color="B8D0EC" w:themeColor="accent5"/>
        <w:right w:val="single" w:sz="8" w:space="0" w:color="B8D0EC"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B8D0EC" w:themeColor="accent5"/>
          <w:right w:val="nil"/>
          <w:insideH w:val="nil"/>
          <w:insideV w:val="nil"/>
        </w:tcBorders>
        <w:shd w:val="clear" w:color="auto" w:fill="FFFFFF" w:themeFill="background1"/>
      </w:tcPr>
    </w:tblStylePr>
    <w:tblStylePr w:type="lastRow">
      <w:tblPr/>
      <w:tcPr>
        <w:tcBorders>
          <w:top w:val="single" w:sz="8" w:space="0" w:color="B8D0E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D0EC" w:themeColor="accent5"/>
          <w:insideH w:val="nil"/>
          <w:insideV w:val="nil"/>
        </w:tcBorders>
        <w:shd w:val="clear" w:color="auto" w:fill="FFFFFF" w:themeFill="background1"/>
      </w:tcPr>
    </w:tblStylePr>
    <w:tblStylePr w:type="lastCol">
      <w:tblPr/>
      <w:tcPr>
        <w:tcBorders>
          <w:top w:val="nil"/>
          <w:left w:val="single" w:sz="8" w:space="0" w:color="B8D0E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3FA" w:themeFill="accent5" w:themeFillTint="3F"/>
      </w:tcPr>
    </w:tblStylePr>
    <w:tblStylePr w:type="band1Horz">
      <w:tblPr/>
      <w:tcPr>
        <w:tcBorders>
          <w:top w:val="nil"/>
          <w:bottom w:val="nil"/>
          <w:insideH w:val="nil"/>
          <w:insideV w:val="nil"/>
        </w:tcBorders>
        <w:shd w:val="clear" w:color="auto" w:fill="EDF3F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C4EC9A" w:themeColor="accent6"/>
        <w:left w:val="single" w:sz="8" w:space="0" w:color="C4EC9A" w:themeColor="accent6"/>
        <w:bottom w:val="single" w:sz="8" w:space="0" w:color="C4EC9A" w:themeColor="accent6"/>
        <w:right w:val="single" w:sz="8" w:space="0" w:color="C4EC9A"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C4EC9A" w:themeColor="accent6"/>
          <w:right w:val="nil"/>
          <w:insideH w:val="nil"/>
          <w:insideV w:val="nil"/>
        </w:tcBorders>
        <w:shd w:val="clear" w:color="auto" w:fill="FFFFFF" w:themeFill="background1"/>
      </w:tcPr>
    </w:tblStylePr>
    <w:tblStylePr w:type="lastRow">
      <w:tblPr/>
      <w:tcPr>
        <w:tcBorders>
          <w:top w:val="single" w:sz="8" w:space="0" w:color="C4EC9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EC9A" w:themeColor="accent6"/>
          <w:insideH w:val="nil"/>
          <w:insideV w:val="nil"/>
        </w:tcBorders>
        <w:shd w:val="clear" w:color="auto" w:fill="FFFFFF" w:themeFill="background1"/>
      </w:tcPr>
    </w:tblStylePr>
    <w:tblStylePr w:type="lastCol">
      <w:tblPr/>
      <w:tcPr>
        <w:tcBorders>
          <w:top w:val="nil"/>
          <w:left w:val="single" w:sz="8" w:space="0" w:color="C4EC9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AE6" w:themeFill="accent6" w:themeFillTint="3F"/>
      </w:tcPr>
    </w:tblStylePr>
    <w:tblStylePr w:type="band1Horz">
      <w:tblPr/>
      <w:tcPr>
        <w:tcBorders>
          <w:top w:val="nil"/>
          <w:bottom w:val="nil"/>
          <w:insideH w:val="nil"/>
          <w:insideV w:val="nil"/>
        </w:tcBorders>
        <w:shd w:val="clear" w:color="auto" w:fill="F0FA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DD0835"/>
    <w:pPr>
      <w:spacing w:line="240" w:lineRule="atLeast"/>
    </w:pPr>
    <w:rPr>
      <w:rFonts w:eastAsia="MS Mincho"/>
      <w:color w:val="000000" w:themeColor="text2"/>
      <w:sz w:val="18"/>
      <w:szCs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D0835"/>
    <w:pPr>
      <w:spacing w:line="240" w:lineRule="atLeast"/>
    </w:pPr>
    <w:rPr>
      <w:rFonts w:eastAsia="MS Mincho"/>
      <w:color w:val="000000" w:themeColor="text2"/>
      <w:sz w:val="18"/>
      <w:szCs w:val="18"/>
    </w:rPr>
    <w:tblPr>
      <w:tblStyleRowBandSize w:val="1"/>
      <w:tblStyleColBandSize w:val="1"/>
      <w:tblBorders>
        <w:top w:val="single" w:sz="8" w:space="0" w:color="476D78" w:themeColor="accent1" w:themeTint="BF"/>
        <w:left w:val="single" w:sz="8" w:space="0" w:color="476D78" w:themeColor="accent1" w:themeTint="BF"/>
        <w:bottom w:val="single" w:sz="8" w:space="0" w:color="476D78" w:themeColor="accent1" w:themeTint="BF"/>
        <w:right w:val="single" w:sz="8" w:space="0" w:color="476D78" w:themeColor="accent1" w:themeTint="BF"/>
        <w:insideH w:val="single" w:sz="8" w:space="0" w:color="476D78"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76D78" w:themeColor="accent1" w:themeTint="BF"/>
          <w:left w:val="single" w:sz="8" w:space="0" w:color="476D78" w:themeColor="accent1" w:themeTint="BF"/>
          <w:bottom w:val="single" w:sz="8" w:space="0" w:color="476D78" w:themeColor="accent1" w:themeTint="BF"/>
          <w:right w:val="single" w:sz="8" w:space="0" w:color="476D78" w:themeColor="accent1" w:themeTint="BF"/>
          <w:insideH w:val="nil"/>
          <w:insideV w:val="nil"/>
        </w:tcBorders>
        <w:shd w:val="clear" w:color="auto" w:fill="203136" w:themeFill="accent1"/>
      </w:tcPr>
    </w:tblStylePr>
    <w:tblStylePr w:type="lastRow">
      <w:pPr>
        <w:spacing w:before="0" w:after="0" w:line="240" w:lineRule="auto"/>
      </w:pPr>
      <w:rPr>
        <w:b/>
        <w:bCs/>
      </w:rPr>
      <w:tblPr/>
      <w:tcPr>
        <w:tcBorders>
          <w:top w:val="double" w:sz="6" w:space="0" w:color="476D78" w:themeColor="accent1" w:themeTint="BF"/>
          <w:left w:val="single" w:sz="8" w:space="0" w:color="476D78" w:themeColor="accent1" w:themeTint="BF"/>
          <w:bottom w:val="single" w:sz="8" w:space="0" w:color="476D78" w:themeColor="accent1" w:themeTint="BF"/>
          <w:right w:val="single" w:sz="8" w:space="0" w:color="476D78" w:themeColor="accent1" w:themeTint="BF"/>
          <w:insideH w:val="nil"/>
          <w:insideV w:val="nil"/>
        </w:tcBorders>
      </w:tcPr>
    </w:tblStylePr>
    <w:tblStylePr w:type="firstCol">
      <w:rPr>
        <w:b/>
        <w:bCs/>
      </w:rPr>
    </w:tblStylePr>
    <w:tblStylePr w:type="lastCol">
      <w:rPr>
        <w:b/>
        <w:bCs/>
      </w:rPr>
    </w:tblStylePr>
    <w:tblStylePr w:type="band1Vert">
      <w:tblPr/>
      <w:tcPr>
        <w:shd w:val="clear" w:color="auto" w:fill="BDD1D8" w:themeFill="accent1" w:themeFillTint="3F"/>
      </w:tcPr>
    </w:tblStylePr>
    <w:tblStylePr w:type="band1Horz">
      <w:tblPr/>
      <w:tcPr>
        <w:tcBorders>
          <w:insideH w:val="nil"/>
          <w:insideV w:val="nil"/>
        </w:tcBorders>
        <w:shd w:val="clear" w:color="auto" w:fill="BDD1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D0835"/>
    <w:pPr>
      <w:spacing w:line="240" w:lineRule="atLeast"/>
    </w:pPr>
    <w:rPr>
      <w:rFonts w:eastAsia="MS Mincho"/>
      <w:color w:val="000000" w:themeColor="text2"/>
      <w:sz w:val="18"/>
      <w:szCs w:val="18"/>
    </w:rPr>
    <w:tblPr>
      <w:tblStyleRowBandSize w:val="1"/>
      <w:tblStyleColBandSize w:val="1"/>
      <w:tblBorders>
        <w:top w:val="single" w:sz="8" w:space="0" w:color="E5FC93" w:themeColor="accent2" w:themeTint="BF"/>
        <w:left w:val="single" w:sz="8" w:space="0" w:color="E5FC93" w:themeColor="accent2" w:themeTint="BF"/>
        <w:bottom w:val="single" w:sz="8" w:space="0" w:color="E5FC93" w:themeColor="accent2" w:themeTint="BF"/>
        <w:right w:val="single" w:sz="8" w:space="0" w:color="E5FC93" w:themeColor="accent2" w:themeTint="BF"/>
        <w:insideH w:val="single" w:sz="8" w:space="0" w:color="E5FC93"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5FC93" w:themeColor="accent2" w:themeTint="BF"/>
          <w:left w:val="single" w:sz="8" w:space="0" w:color="E5FC93" w:themeColor="accent2" w:themeTint="BF"/>
          <w:bottom w:val="single" w:sz="8" w:space="0" w:color="E5FC93" w:themeColor="accent2" w:themeTint="BF"/>
          <w:right w:val="single" w:sz="8" w:space="0" w:color="E5FC93" w:themeColor="accent2" w:themeTint="BF"/>
          <w:insideH w:val="nil"/>
          <w:insideV w:val="nil"/>
        </w:tcBorders>
        <w:shd w:val="clear" w:color="auto" w:fill="DDFC70" w:themeFill="accent2"/>
      </w:tcPr>
    </w:tblStylePr>
    <w:tblStylePr w:type="lastRow">
      <w:pPr>
        <w:spacing w:before="0" w:after="0" w:line="240" w:lineRule="auto"/>
      </w:pPr>
      <w:rPr>
        <w:b/>
        <w:bCs/>
      </w:rPr>
      <w:tblPr/>
      <w:tcPr>
        <w:tcBorders>
          <w:top w:val="double" w:sz="6" w:space="0" w:color="E5FC93" w:themeColor="accent2" w:themeTint="BF"/>
          <w:left w:val="single" w:sz="8" w:space="0" w:color="E5FC93" w:themeColor="accent2" w:themeTint="BF"/>
          <w:bottom w:val="single" w:sz="8" w:space="0" w:color="E5FC93" w:themeColor="accent2" w:themeTint="BF"/>
          <w:right w:val="single" w:sz="8" w:space="0" w:color="E5FC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FEDB" w:themeFill="accent2" w:themeFillTint="3F"/>
      </w:tcPr>
    </w:tblStylePr>
    <w:tblStylePr w:type="band1Horz">
      <w:tblPr/>
      <w:tcPr>
        <w:tcBorders>
          <w:insideH w:val="nil"/>
          <w:insideV w:val="nil"/>
        </w:tcBorders>
        <w:shd w:val="clear" w:color="auto" w:fill="F6FED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D0835"/>
    <w:pPr>
      <w:spacing w:line="240" w:lineRule="atLeast"/>
    </w:pPr>
    <w:rPr>
      <w:rFonts w:eastAsia="MS Mincho"/>
      <w:color w:val="000000" w:themeColor="text2"/>
      <w:sz w:val="18"/>
      <w:szCs w:val="18"/>
    </w:rPr>
    <w:tblPr>
      <w:tblStyleRowBandSize w:val="1"/>
      <w:tblStyleColBandSize w:val="1"/>
      <w:tblBorders>
        <w:top w:val="single" w:sz="8" w:space="0" w:color="DFD5C8" w:themeColor="accent3" w:themeTint="BF"/>
        <w:left w:val="single" w:sz="8" w:space="0" w:color="DFD5C8" w:themeColor="accent3" w:themeTint="BF"/>
        <w:bottom w:val="single" w:sz="8" w:space="0" w:color="DFD5C8" w:themeColor="accent3" w:themeTint="BF"/>
        <w:right w:val="single" w:sz="8" w:space="0" w:color="DFD5C8" w:themeColor="accent3" w:themeTint="BF"/>
        <w:insideH w:val="single" w:sz="8" w:space="0" w:color="DFD5C8"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DFD5C8" w:themeColor="accent3" w:themeTint="BF"/>
          <w:left w:val="single" w:sz="8" w:space="0" w:color="DFD5C8" w:themeColor="accent3" w:themeTint="BF"/>
          <w:bottom w:val="single" w:sz="8" w:space="0" w:color="DFD5C8" w:themeColor="accent3" w:themeTint="BF"/>
          <w:right w:val="single" w:sz="8" w:space="0" w:color="DFD5C8" w:themeColor="accent3" w:themeTint="BF"/>
          <w:insideH w:val="nil"/>
          <w:insideV w:val="nil"/>
        </w:tcBorders>
        <w:shd w:val="clear" w:color="auto" w:fill="D5C8B6" w:themeFill="accent3"/>
      </w:tcPr>
    </w:tblStylePr>
    <w:tblStylePr w:type="lastRow">
      <w:pPr>
        <w:spacing w:before="0" w:after="0" w:line="240" w:lineRule="auto"/>
      </w:pPr>
      <w:rPr>
        <w:b/>
        <w:bCs/>
      </w:rPr>
      <w:tblPr/>
      <w:tcPr>
        <w:tcBorders>
          <w:top w:val="double" w:sz="6" w:space="0" w:color="DFD5C8" w:themeColor="accent3" w:themeTint="BF"/>
          <w:left w:val="single" w:sz="8" w:space="0" w:color="DFD5C8" w:themeColor="accent3" w:themeTint="BF"/>
          <w:bottom w:val="single" w:sz="8" w:space="0" w:color="DFD5C8" w:themeColor="accent3" w:themeTint="BF"/>
          <w:right w:val="single" w:sz="8" w:space="0" w:color="DFD5C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1EC" w:themeFill="accent3" w:themeFillTint="3F"/>
      </w:tcPr>
    </w:tblStylePr>
    <w:tblStylePr w:type="band1Horz">
      <w:tblPr/>
      <w:tcPr>
        <w:tcBorders>
          <w:insideH w:val="nil"/>
          <w:insideV w:val="nil"/>
        </w:tcBorders>
        <w:shd w:val="clear" w:color="auto" w:fill="F4F1E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D0835"/>
    <w:pPr>
      <w:spacing w:line="240" w:lineRule="atLeast"/>
    </w:pPr>
    <w:rPr>
      <w:rFonts w:eastAsia="MS Mincho"/>
      <w:color w:val="000000" w:themeColor="text2"/>
      <w:sz w:val="18"/>
      <w:szCs w:val="18"/>
    </w:rPr>
    <w:tblPr>
      <w:tblStyleRowBandSize w:val="1"/>
      <w:tblStyleColBandSize w:val="1"/>
      <w:tblBorders>
        <w:top w:val="single" w:sz="8" w:space="0" w:color="A5B6BC" w:themeColor="accent4" w:themeTint="BF"/>
        <w:left w:val="single" w:sz="8" w:space="0" w:color="A5B6BC" w:themeColor="accent4" w:themeTint="BF"/>
        <w:bottom w:val="single" w:sz="8" w:space="0" w:color="A5B6BC" w:themeColor="accent4" w:themeTint="BF"/>
        <w:right w:val="single" w:sz="8" w:space="0" w:color="A5B6BC" w:themeColor="accent4" w:themeTint="BF"/>
        <w:insideH w:val="single" w:sz="8" w:space="0" w:color="A5B6BC"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A5B6BC" w:themeColor="accent4" w:themeTint="BF"/>
          <w:left w:val="single" w:sz="8" w:space="0" w:color="A5B6BC" w:themeColor="accent4" w:themeTint="BF"/>
          <w:bottom w:val="single" w:sz="8" w:space="0" w:color="A5B6BC" w:themeColor="accent4" w:themeTint="BF"/>
          <w:right w:val="single" w:sz="8" w:space="0" w:color="A5B6BC" w:themeColor="accent4" w:themeTint="BF"/>
          <w:insideH w:val="nil"/>
          <w:insideV w:val="nil"/>
        </w:tcBorders>
        <w:shd w:val="clear" w:color="auto" w:fill="889EA6" w:themeFill="accent4"/>
      </w:tcPr>
    </w:tblStylePr>
    <w:tblStylePr w:type="lastRow">
      <w:pPr>
        <w:spacing w:before="0" w:after="0" w:line="240" w:lineRule="auto"/>
      </w:pPr>
      <w:rPr>
        <w:b/>
        <w:bCs/>
      </w:rPr>
      <w:tblPr/>
      <w:tcPr>
        <w:tcBorders>
          <w:top w:val="double" w:sz="6" w:space="0" w:color="A5B6BC" w:themeColor="accent4" w:themeTint="BF"/>
          <w:left w:val="single" w:sz="8" w:space="0" w:color="A5B6BC" w:themeColor="accent4" w:themeTint="BF"/>
          <w:bottom w:val="single" w:sz="8" w:space="0" w:color="A5B6BC" w:themeColor="accent4" w:themeTint="BF"/>
          <w:right w:val="single" w:sz="8" w:space="0" w:color="A5B6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1E6E9" w:themeFill="accent4" w:themeFillTint="3F"/>
      </w:tcPr>
    </w:tblStylePr>
    <w:tblStylePr w:type="band1Horz">
      <w:tblPr/>
      <w:tcPr>
        <w:tcBorders>
          <w:insideH w:val="nil"/>
          <w:insideV w:val="nil"/>
        </w:tcBorders>
        <w:shd w:val="clear" w:color="auto" w:fill="E1E6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D0835"/>
    <w:pPr>
      <w:spacing w:line="240" w:lineRule="atLeast"/>
    </w:pPr>
    <w:rPr>
      <w:rFonts w:eastAsia="MS Mincho"/>
      <w:color w:val="000000" w:themeColor="text2"/>
      <w:sz w:val="18"/>
      <w:szCs w:val="18"/>
    </w:rPr>
    <w:tblPr>
      <w:tblStyleRowBandSize w:val="1"/>
      <w:tblStyleColBandSize w:val="1"/>
      <w:tblBorders>
        <w:top w:val="single" w:sz="8" w:space="0" w:color="C9DBF0" w:themeColor="accent5" w:themeTint="BF"/>
        <w:left w:val="single" w:sz="8" w:space="0" w:color="C9DBF0" w:themeColor="accent5" w:themeTint="BF"/>
        <w:bottom w:val="single" w:sz="8" w:space="0" w:color="C9DBF0" w:themeColor="accent5" w:themeTint="BF"/>
        <w:right w:val="single" w:sz="8" w:space="0" w:color="C9DBF0" w:themeColor="accent5" w:themeTint="BF"/>
        <w:insideH w:val="single" w:sz="8" w:space="0" w:color="C9DBF0"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C9DBF0" w:themeColor="accent5" w:themeTint="BF"/>
          <w:left w:val="single" w:sz="8" w:space="0" w:color="C9DBF0" w:themeColor="accent5" w:themeTint="BF"/>
          <w:bottom w:val="single" w:sz="8" w:space="0" w:color="C9DBF0" w:themeColor="accent5" w:themeTint="BF"/>
          <w:right w:val="single" w:sz="8" w:space="0" w:color="C9DBF0" w:themeColor="accent5" w:themeTint="BF"/>
          <w:insideH w:val="nil"/>
          <w:insideV w:val="nil"/>
        </w:tcBorders>
        <w:shd w:val="clear" w:color="auto" w:fill="B8D0EC" w:themeFill="accent5"/>
      </w:tcPr>
    </w:tblStylePr>
    <w:tblStylePr w:type="lastRow">
      <w:pPr>
        <w:spacing w:before="0" w:after="0" w:line="240" w:lineRule="auto"/>
      </w:pPr>
      <w:rPr>
        <w:b/>
        <w:bCs/>
      </w:rPr>
      <w:tblPr/>
      <w:tcPr>
        <w:tcBorders>
          <w:top w:val="double" w:sz="6" w:space="0" w:color="C9DBF0" w:themeColor="accent5" w:themeTint="BF"/>
          <w:left w:val="single" w:sz="8" w:space="0" w:color="C9DBF0" w:themeColor="accent5" w:themeTint="BF"/>
          <w:bottom w:val="single" w:sz="8" w:space="0" w:color="C9DBF0" w:themeColor="accent5" w:themeTint="BF"/>
          <w:right w:val="single" w:sz="8" w:space="0" w:color="C9DBF0"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F3FA" w:themeFill="accent5" w:themeFillTint="3F"/>
      </w:tcPr>
    </w:tblStylePr>
    <w:tblStylePr w:type="band1Horz">
      <w:tblPr/>
      <w:tcPr>
        <w:tcBorders>
          <w:insideH w:val="nil"/>
          <w:insideV w:val="nil"/>
        </w:tcBorders>
        <w:shd w:val="clear" w:color="auto" w:fill="EDF3F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D0835"/>
    <w:pPr>
      <w:spacing w:line="240" w:lineRule="atLeast"/>
    </w:pPr>
    <w:rPr>
      <w:rFonts w:eastAsia="MS Mincho"/>
      <w:color w:val="000000" w:themeColor="text2"/>
      <w:sz w:val="18"/>
      <w:szCs w:val="18"/>
    </w:rPr>
    <w:tblPr>
      <w:tblStyleRowBandSize w:val="1"/>
      <w:tblStyleColBandSize w:val="1"/>
      <w:tblBorders>
        <w:top w:val="single" w:sz="8" w:space="0" w:color="D2F0B3" w:themeColor="accent6" w:themeTint="BF"/>
        <w:left w:val="single" w:sz="8" w:space="0" w:color="D2F0B3" w:themeColor="accent6" w:themeTint="BF"/>
        <w:bottom w:val="single" w:sz="8" w:space="0" w:color="D2F0B3" w:themeColor="accent6" w:themeTint="BF"/>
        <w:right w:val="single" w:sz="8" w:space="0" w:color="D2F0B3" w:themeColor="accent6" w:themeTint="BF"/>
        <w:insideH w:val="single" w:sz="8" w:space="0" w:color="D2F0B3"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D2F0B3" w:themeColor="accent6" w:themeTint="BF"/>
          <w:left w:val="single" w:sz="8" w:space="0" w:color="D2F0B3" w:themeColor="accent6" w:themeTint="BF"/>
          <w:bottom w:val="single" w:sz="8" w:space="0" w:color="D2F0B3" w:themeColor="accent6" w:themeTint="BF"/>
          <w:right w:val="single" w:sz="8" w:space="0" w:color="D2F0B3" w:themeColor="accent6" w:themeTint="BF"/>
          <w:insideH w:val="nil"/>
          <w:insideV w:val="nil"/>
        </w:tcBorders>
        <w:shd w:val="clear" w:color="auto" w:fill="C4EC9A" w:themeFill="accent6"/>
      </w:tcPr>
    </w:tblStylePr>
    <w:tblStylePr w:type="lastRow">
      <w:pPr>
        <w:spacing w:before="0" w:after="0" w:line="240" w:lineRule="auto"/>
      </w:pPr>
      <w:rPr>
        <w:b/>
        <w:bCs/>
      </w:rPr>
      <w:tblPr/>
      <w:tcPr>
        <w:tcBorders>
          <w:top w:val="double" w:sz="6" w:space="0" w:color="D2F0B3" w:themeColor="accent6" w:themeTint="BF"/>
          <w:left w:val="single" w:sz="8" w:space="0" w:color="D2F0B3" w:themeColor="accent6" w:themeTint="BF"/>
          <w:bottom w:val="single" w:sz="8" w:space="0" w:color="D2F0B3" w:themeColor="accent6" w:themeTint="BF"/>
          <w:right w:val="single" w:sz="8" w:space="0" w:color="D2F0B3" w:themeColor="accent6" w:themeTint="BF"/>
          <w:insideH w:val="nil"/>
          <w:insideV w:val="nil"/>
        </w:tcBorders>
      </w:tcPr>
    </w:tblStylePr>
    <w:tblStylePr w:type="firstCol">
      <w:rPr>
        <w:b/>
        <w:bCs/>
      </w:rPr>
    </w:tblStylePr>
    <w:tblStylePr w:type="lastCol">
      <w:rPr>
        <w:b/>
        <w:bCs/>
      </w:rPr>
    </w:tblStylePr>
    <w:tblStylePr w:type="band1Vert">
      <w:tblPr/>
      <w:tcPr>
        <w:shd w:val="clear" w:color="auto" w:fill="F0FAE6" w:themeFill="accent6" w:themeFillTint="3F"/>
      </w:tcPr>
    </w:tblStylePr>
    <w:tblStylePr w:type="band1Horz">
      <w:tblPr/>
      <w:tcPr>
        <w:tcBorders>
          <w:insideH w:val="nil"/>
          <w:insideV w:val="nil"/>
        </w:tcBorders>
        <w:shd w:val="clear" w:color="auto" w:fill="F0FAE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DD0835"/>
    <w:pPr>
      <w:spacing w:line="240" w:lineRule="atLeast"/>
    </w:pPr>
    <w:rPr>
      <w:rFonts w:eastAsia="MS Mincho"/>
      <w:color w:val="000000" w:themeColor="text2"/>
      <w:sz w:val="18"/>
      <w:szCs w:val="18"/>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D0835"/>
    <w:pPr>
      <w:spacing w:line="240" w:lineRule="atLeast"/>
    </w:pPr>
    <w:rPr>
      <w:rFonts w:eastAsia="MS Mincho"/>
      <w:color w:val="000000" w:themeColor="text2"/>
      <w:sz w:val="18"/>
      <w:szCs w:val="18"/>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20313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3136" w:themeFill="accent1"/>
      </w:tcPr>
    </w:tblStylePr>
    <w:tblStylePr w:type="lastCol">
      <w:rPr>
        <w:b/>
        <w:bCs/>
        <w:color w:val="FFFFFF" w:themeColor="background1"/>
      </w:rPr>
      <w:tblPr/>
      <w:tcPr>
        <w:tcBorders>
          <w:left w:val="nil"/>
          <w:right w:val="nil"/>
          <w:insideH w:val="nil"/>
          <w:insideV w:val="nil"/>
        </w:tcBorders>
        <w:shd w:val="clear" w:color="auto" w:fill="20313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D0835"/>
    <w:pPr>
      <w:spacing w:line="240" w:lineRule="atLeast"/>
    </w:pPr>
    <w:rPr>
      <w:rFonts w:eastAsia="MS Mincho"/>
      <w:color w:val="000000" w:themeColor="text2"/>
      <w:sz w:val="18"/>
      <w:szCs w:val="18"/>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DFC7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FC70" w:themeFill="accent2"/>
      </w:tcPr>
    </w:tblStylePr>
    <w:tblStylePr w:type="lastCol">
      <w:rPr>
        <w:b/>
        <w:bCs/>
        <w:color w:val="FFFFFF" w:themeColor="background1"/>
      </w:rPr>
      <w:tblPr/>
      <w:tcPr>
        <w:tcBorders>
          <w:left w:val="nil"/>
          <w:right w:val="nil"/>
          <w:insideH w:val="nil"/>
          <w:insideV w:val="nil"/>
        </w:tcBorders>
        <w:shd w:val="clear" w:color="auto" w:fill="DDFC7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D0835"/>
    <w:pPr>
      <w:spacing w:line="240" w:lineRule="atLeast"/>
    </w:pPr>
    <w:rPr>
      <w:rFonts w:eastAsia="MS Mincho"/>
      <w:color w:val="000000" w:themeColor="text2"/>
      <w:sz w:val="18"/>
      <w:szCs w:val="18"/>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5C8B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5C8B6" w:themeFill="accent3"/>
      </w:tcPr>
    </w:tblStylePr>
    <w:tblStylePr w:type="lastCol">
      <w:rPr>
        <w:b/>
        <w:bCs/>
        <w:color w:val="FFFFFF" w:themeColor="background1"/>
      </w:rPr>
      <w:tblPr/>
      <w:tcPr>
        <w:tcBorders>
          <w:left w:val="nil"/>
          <w:right w:val="nil"/>
          <w:insideH w:val="nil"/>
          <w:insideV w:val="nil"/>
        </w:tcBorders>
        <w:shd w:val="clear" w:color="auto" w:fill="D5C8B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D0835"/>
    <w:pPr>
      <w:spacing w:line="240" w:lineRule="atLeast"/>
    </w:pPr>
    <w:rPr>
      <w:rFonts w:eastAsia="MS Mincho"/>
      <w:color w:val="000000" w:themeColor="text2"/>
      <w:sz w:val="18"/>
      <w:szCs w:val="18"/>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89E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9EA6" w:themeFill="accent4"/>
      </w:tcPr>
    </w:tblStylePr>
    <w:tblStylePr w:type="lastCol">
      <w:rPr>
        <w:b/>
        <w:bCs/>
        <w:color w:val="FFFFFF" w:themeColor="background1"/>
      </w:rPr>
      <w:tblPr/>
      <w:tcPr>
        <w:tcBorders>
          <w:left w:val="nil"/>
          <w:right w:val="nil"/>
          <w:insideH w:val="nil"/>
          <w:insideV w:val="nil"/>
        </w:tcBorders>
        <w:shd w:val="clear" w:color="auto" w:fill="889E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D0835"/>
    <w:pPr>
      <w:spacing w:line="240" w:lineRule="atLeast"/>
    </w:pPr>
    <w:rPr>
      <w:rFonts w:eastAsia="MS Mincho"/>
      <w:color w:val="000000" w:themeColor="text2"/>
      <w:sz w:val="18"/>
      <w:szCs w:val="18"/>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B8D0E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D0EC" w:themeFill="accent5"/>
      </w:tcPr>
    </w:tblStylePr>
    <w:tblStylePr w:type="lastCol">
      <w:rPr>
        <w:b/>
        <w:bCs/>
        <w:color w:val="FFFFFF" w:themeColor="background1"/>
      </w:rPr>
      <w:tblPr/>
      <w:tcPr>
        <w:tcBorders>
          <w:left w:val="nil"/>
          <w:right w:val="nil"/>
          <w:insideH w:val="nil"/>
          <w:insideV w:val="nil"/>
        </w:tcBorders>
        <w:shd w:val="clear" w:color="auto" w:fill="B8D0E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D0835"/>
    <w:pPr>
      <w:spacing w:line="240" w:lineRule="atLeast"/>
    </w:pPr>
    <w:rPr>
      <w:rFonts w:eastAsia="MS Mincho"/>
      <w:color w:val="000000" w:themeColor="text2"/>
      <w:sz w:val="18"/>
      <w:szCs w:val="18"/>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C4EC9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4EC9A" w:themeFill="accent6"/>
      </w:tcPr>
    </w:tblStylePr>
    <w:tblStylePr w:type="lastCol">
      <w:rPr>
        <w:b/>
        <w:bCs/>
        <w:color w:val="FFFFFF" w:themeColor="background1"/>
      </w:rPr>
      <w:tblPr/>
      <w:tcPr>
        <w:tcBorders>
          <w:left w:val="nil"/>
          <w:right w:val="nil"/>
          <w:insideH w:val="nil"/>
          <w:insideV w:val="nil"/>
        </w:tcBorders>
        <w:shd w:val="clear" w:color="auto" w:fill="C4EC9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DD083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D0835"/>
    <w:rPr>
      <w:rFonts w:asciiTheme="majorHAnsi" w:eastAsiaTheme="majorEastAsia" w:hAnsiTheme="majorHAnsi" w:cstheme="majorBidi"/>
      <w:shd w:val="pct20" w:color="auto" w:fill="auto"/>
      <w:lang w:val="en-AU"/>
    </w:rPr>
  </w:style>
  <w:style w:type="paragraph" w:styleId="NormalWeb">
    <w:name w:val="Normal (Web)"/>
    <w:basedOn w:val="Normal"/>
    <w:uiPriority w:val="99"/>
    <w:semiHidden/>
    <w:unhideWhenUsed/>
    <w:rsid w:val="00DD0835"/>
    <w:rPr>
      <w:rFonts w:ascii="Times New Roman" w:hAnsi="Times New Roman"/>
    </w:rPr>
  </w:style>
  <w:style w:type="paragraph" w:styleId="NormalIndent">
    <w:name w:val="Normal Indent"/>
    <w:basedOn w:val="Normal"/>
    <w:uiPriority w:val="99"/>
    <w:semiHidden/>
    <w:unhideWhenUsed/>
    <w:rsid w:val="00DD0835"/>
    <w:pPr>
      <w:ind w:left="720"/>
    </w:pPr>
  </w:style>
  <w:style w:type="paragraph" w:styleId="NoteHeading">
    <w:name w:val="Note Heading"/>
    <w:basedOn w:val="Normal"/>
    <w:next w:val="Normal"/>
    <w:link w:val="NoteHeadingChar"/>
    <w:uiPriority w:val="99"/>
    <w:semiHidden/>
    <w:unhideWhenUsed/>
    <w:rsid w:val="00DD0835"/>
  </w:style>
  <w:style w:type="character" w:customStyle="1" w:styleId="NoteHeadingChar">
    <w:name w:val="Note Heading Char"/>
    <w:basedOn w:val="DefaultParagraphFont"/>
    <w:link w:val="NoteHeading"/>
    <w:uiPriority w:val="99"/>
    <w:semiHidden/>
    <w:rsid w:val="00DD0835"/>
    <w:rPr>
      <w:lang w:val="en-AU"/>
    </w:rPr>
  </w:style>
  <w:style w:type="paragraph" w:styleId="PlainText">
    <w:name w:val="Plain Text"/>
    <w:basedOn w:val="Normal"/>
    <w:link w:val="PlainTextChar"/>
    <w:uiPriority w:val="99"/>
    <w:semiHidden/>
    <w:unhideWhenUsed/>
    <w:rsid w:val="00DD0835"/>
    <w:rPr>
      <w:rFonts w:ascii="Consolas" w:hAnsi="Consolas" w:cs="Consolas"/>
      <w:sz w:val="21"/>
      <w:szCs w:val="21"/>
    </w:rPr>
  </w:style>
  <w:style w:type="character" w:customStyle="1" w:styleId="PlainTextChar">
    <w:name w:val="Plain Text Char"/>
    <w:basedOn w:val="DefaultParagraphFont"/>
    <w:link w:val="PlainText"/>
    <w:uiPriority w:val="99"/>
    <w:semiHidden/>
    <w:rsid w:val="00DD0835"/>
    <w:rPr>
      <w:rFonts w:ascii="Consolas" w:hAnsi="Consolas" w:cs="Consolas"/>
      <w:sz w:val="21"/>
      <w:szCs w:val="21"/>
      <w:lang w:val="en-AU"/>
    </w:rPr>
  </w:style>
  <w:style w:type="character" w:customStyle="1" w:styleId="FooterChar">
    <w:name w:val="Footer Char"/>
    <w:link w:val="Footer"/>
    <w:uiPriority w:val="99"/>
    <w:rsid w:val="00DD0835"/>
    <w:rPr>
      <w:rFonts w:eastAsiaTheme="minorEastAsia" w:cs="Arial"/>
      <w:color w:val="203136" w:themeColor="accent1"/>
      <w:sz w:val="16"/>
      <w:szCs w:val="14"/>
      <w:lang w:val="en-AU" w:eastAsia="x-none" w:bidi="he-IL"/>
    </w:rPr>
  </w:style>
  <w:style w:type="paragraph" w:styleId="Salutation">
    <w:name w:val="Salutation"/>
    <w:basedOn w:val="Normal"/>
    <w:next w:val="Normal"/>
    <w:link w:val="SalutationChar"/>
    <w:uiPriority w:val="99"/>
    <w:semiHidden/>
    <w:unhideWhenUsed/>
    <w:rsid w:val="00DD0835"/>
  </w:style>
  <w:style w:type="character" w:customStyle="1" w:styleId="SalutationChar">
    <w:name w:val="Salutation Char"/>
    <w:basedOn w:val="DefaultParagraphFont"/>
    <w:link w:val="Salutation"/>
    <w:uiPriority w:val="99"/>
    <w:semiHidden/>
    <w:rsid w:val="00DD0835"/>
    <w:rPr>
      <w:lang w:val="en-AU"/>
    </w:rPr>
  </w:style>
  <w:style w:type="paragraph" w:styleId="Signature">
    <w:name w:val="Signature"/>
    <w:basedOn w:val="Normal"/>
    <w:link w:val="SignatureChar"/>
    <w:uiPriority w:val="99"/>
    <w:semiHidden/>
    <w:unhideWhenUsed/>
    <w:rsid w:val="00DD0835"/>
    <w:pPr>
      <w:ind w:left="4252"/>
    </w:pPr>
  </w:style>
  <w:style w:type="character" w:customStyle="1" w:styleId="SignatureChar">
    <w:name w:val="Signature Char"/>
    <w:basedOn w:val="DefaultParagraphFont"/>
    <w:link w:val="Signature"/>
    <w:uiPriority w:val="99"/>
    <w:semiHidden/>
    <w:rsid w:val="00DD0835"/>
    <w:rPr>
      <w:lang w:val="en-AU"/>
    </w:rPr>
  </w:style>
  <w:style w:type="character" w:styleId="SubtleEmphasis">
    <w:name w:val="Subtle Emphasis"/>
    <w:basedOn w:val="DefaultParagraphFont"/>
    <w:uiPriority w:val="19"/>
    <w:semiHidden/>
    <w:qFormat/>
    <w:rsid w:val="00DD0835"/>
    <w:rPr>
      <w:i/>
      <w:iCs/>
      <w:color w:val="808080" w:themeColor="text1" w:themeTint="7F"/>
    </w:rPr>
  </w:style>
  <w:style w:type="character" w:styleId="SubtleReference">
    <w:name w:val="Subtle Reference"/>
    <w:basedOn w:val="DefaultParagraphFont"/>
    <w:uiPriority w:val="31"/>
    <w:semiHidden/>
    <w:qFormat/>
    <w:rsid w:val="00DD0835"/>
    <w:rPr>
      <w:smallCaps/>
      <w:color w:val="DDFC70" w:themeColor="accent2"/>
      <w:u w:val="single"/>
    </w:rPr>
  </w:style>
  <w:style w:type="table" w:styleId="Table3Deffects1">
    <w:name w:val="Table 3D effects 1"/>
    <w:basedOn w:val="TableNormal"/>
    <w:uiPriority w:val="99"/>
    <w:unhideWhenUsed/>
    <w:rsid w:val="00DD0835"/>
    <w:pPr>
      <w:adjustRightInd w:val="0"/>
      <w:snapToGrid w:val="0"/>
      <w:spacing w:line="240" w:lineRule="atLeast"/>
    </w:pPr>
    <w:rPr>
      <w:rFonts w:eastAsia="MS Mincho"/>
      <w:color w:val="000000" w:themeColor="text2"/>
      <w:sz w:val="18"/>
      <w:szCs w:val="18"/>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DD0835"/>
    <w:pPr>
      <w:adjustRightInd w:val="0"/>
      <w:snapToGrid w:val="0"/>
      <w:spacing w:line="240" w:lineRule="atLeast"/>
    </w:pPr>
    <w:rPr>
      <w:rFonts w:eastAsia="MS Mincho"/>
      <w:color w:val="000000" w:themeColor="text2"/>
      <w:sz w:val="18"/>
      <w:szCs w:val="18"/>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DD0835"/>
    <w:pPr>
      <w:adjustRightInd w:val="0"/>
      <w:snapToGrid w:val="0"/>
      <w:spacing w:line="240" w:lineRule="atLeast"/>
    </w:pPr>
    <w:rPr>
      <w:rFonts w:eastAsia="MS Mincho"/>
      <w:color w:val="000000" w:themeColor="text2"/>
      <w:sz w:val="18"/>
      <w:szCs w:val="18"/>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DD0835"/>
    <w:pPr>
      <w:adjustRightInd w:val="0"/>
      <w:snapToGrid w:val="0"/>
      <w:spacing w:line="240" w:lineRule="atLeast"/>
    </w:pPr>
    <w:rPr>
      <w:rFonts w:eastAsia="MS Mincho"/>
      <w:color w:val="000080"/>
      <w:sz w:val="18"/>
      <w:szCs w:val="18"/>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DD0835"/>
    <w:pPr>
      <w:adjustRightInd w:val="0"/>
      <w:snapToGrid w:val="0"/>
      <w:spacing w:line="240" w:lineRule="atLeast"/>
    </w:pPr>
    <w:rPr>
      <w:rFonts w:eastAsia="MS Mincho"/>
      <w:color w:val="FFFFFF"/>
      <w:sz w:val="18"/>
      <w:szCs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DD0835"/>
    <w:pPr>
      <w:adjustRightInd w:val="0"/>
      <w:snapToGrid w:val="0"/>
      <w:spacing w:line="240" w:lineRule="atLeast"/>
    </w:pPr>
    <w:rPr>
      <w:rFonts w:eastAsia="MS Mincho"/>
      <w:b/>
      <w:bCs/>
      <w:color w:val="000000" w:themeColor="text2"/>
      <w:sz w:val="18"/>
      <w:szCs w:val="18"/>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DD0835"/>
    <w:pPr>
      <w:adjustRightInd w:val="0"/>
      <w:snapToGrid w:val="0"/>
      <w:spacing w:line="240" w:lineRule="atLeast"/>
    </w:pPr>
    <w:rPr>
      <w:rFonts w:eastAsia="MS Mincho"/>
      <w:b/>
      <w:bCs/>
      <w:color w:val="000000" w:themeColor="text2"/>
      <w:sz w:val="18"/>
      <w:szCs w:val="18"/>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DD0835"/>
    <w:pPr>
      <w:adjustRightInd w:val="0"/>
      <w:snapToGrid w:val="0"/>
      <w:spacing w:line="240" w:lineRule="atLeast"/>
    </w:pPr>
    <w:rPr>
      <w:rFonts w:eastAsia="MS Mincho"/>
      <w:b/>
      <w:bCs/>
      <w:color w:val="000000" w:themeColor="text2"/>
      <w:sz w:val="18"/>
      <w:szCs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DD0835"/>
    <w:pPr>
      <w:adjustRightInd w:val="0"/>
      <w:snapToGrid w:val="0"/>
      <w:spacing w:line="240" w:lineRule="atLeast"/>
    </w:pPr>
    <w:rPr>
      <w:rFonts w:eastAsia="MS Mincho"/>
      <w:color w:val="000000" w:themeColor="text2"/>
      <w:sz w:val="18"/>
      <w:szCs w:val="18"/>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DD0835"/>
    <w:pPr>
      <w:adjustRightInd w:val="0"/>
      <w:snapToGrid w:val="0"/>
      <w:spacing w:line="240" w:lineRule="atLeast"/>
    </w:pPr>
    <w:rPr>
      <w:rFonts w:eastAsia="MS Mincho"/>
      <w:color w:val="000000" w:themeColor="text2"/>
      <w:sz w:val="18"/>
      <w:szCs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DD0835"/>
    <w:pPr>
      <w:adjustRightInd w:val="0"/>
      <w:snapToGrid w:val="0"/>
      <w:spacing w:line="240" w:lineRule="atLeast"/>
    </w:pPr>
    <w:rPr>
      <w:rFonts w:eastAsia="MS Mincho"/>
      <w:color w:val="000000" w:themeColor="text2"/>
      <w:sz w:val="18"/>
      <w:szCs w:val="18"/>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DD0835"/>
    <w:pPr>
      <w:adjustRightInd w:val="0"/>
      <w:snapToGrid w:val="0"/>
      <w:spacing w:line="240" w:lineRule="atLeast"/>
    </w:pPr>
    <w:rPr>
      <w:rFonts w:eastAsia="MS Mincho"/>
      <w:b/>
      <w:bCs/>
      <w:color w:val="000000" w:themeColor="text2"/>
      <w:sz w:val="18"/>
      <w:szCs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unhideWhenUsed/>
    <w:rsid w:val="00DD0835"/>
    <w:pPr>
      <w:adjustRightInd w:val="0"/>
      <w:snapToGrid w:val="0"/>
      <w:spacing w:line="240" w:lineRule="atLeast"/>
    </w:pPr>
    <w:rPr>
      <w:rFonts w:eastAsia="MS Mincho"/>
      <w:color w:val="000000" w:themeColor="text2"/>
      <w:sz w:val="18"/>
      <w:szCs w:val="18"/>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DD0835"/>
    <w:pPr>
      <w:adjustRightInd w:val="0"/>
      <w:snapToGrid w:val="0"/>
      <w:spacing w:line="240" w:lineRule="atLeast"/>
    </w:pPr>
    <w:rPr>
      <w:rFonts w:eastAsia="MS Mincho"/>
      <w:color w:val="000000" w:themeColor="text2"/>
      <w:sz w:val="18"/>
      <w:szCs w:val="18"/>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DD0835"/>
    <w:pPr>
      <w:adjustRightInd w:val="0"/>
      <w:snapToGrid w:val="0"/>
      <w:spacing w:line="240" w:lineRule="atLeast"/>
    </w:pPr>
    <w:rPr>
      <w:rFonts w:eastAsia="MS Mincho"/>
      <w:color w:val="000000" w:themeColor="text2"/>
      <w:sz w:val="18"/>
      <w:szCs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DD0835"/>
    <w:pPr>
      <w:adjustRightInd w:val="0"/>
      <w:snapToGrid w:val="0"/>
      <w:spacing w:line="240" w:lineRule="atLeast"/>
    </w:pPr>
    <w:rPr>
      <w:rFonts w:eastAsia="MS Mincho"/>
      <w:color w:val="000000" w:themeColor="text2"/>
      <w:sz w:val="18"/>
      <w:szCs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DD0835"/>
    <w:pPr>
      <w:adjustRightInd w:val="0"/>
      <w:snapToGrid w:val="0"/>
      <w:spacing w:line="240" w:lineRule="atLeast"/>
    </w:pPr>
    <w:rPr>
      <w:rFonts w:eastAsia="MS Mincho"/>
      <w:color w:val="000000" w:themeColor="text2"/>
      <w:sz w:val="18"/>
      <w:szCs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
    <w:rsid w:val="00DD0835"/>
    <w:pPr>
      <w:ind w:left="220" w:hanging="220"/>
    </w:pPr>
  </w:style>
  <w:style w:type="paragraph" w:styleId="TableofFigures">
    <w:name w:val="table of figures"/>
    <w:basedOn w:val="TOC1"/>
    <w:next w:val="Normal"/>
    <w:uiPriority w:val="99"/>
    <w:rsid w:val="00DD0835"/>
    <w:rPr>
      <w:rFonts w:eastAsia="MS Mincho"/>
    </w:rPr>
  </w:style>
  <w:style w:type="table" w:styleId="TableProfessional">
    <w:name w:val="Table Professional"/>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DD0835"/>
    <w:pPr>
      <w:adjustRightInd w:val="0"/>
      <w:snapToGrid w:val="0"/>
      <w:spacing w:line="240" w:lineRule="atLeast"/>
    </w:pPr>
    <w:rPr>
      <w:rFonts w:eastAsia="MS Mincho"/>
      <w:color w:val="000000" w:themeColor="text2"/>
      <w:sz w:val="18"/>
      <w:szCs w:val="18"/>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DD0835"/>
    <w:pPr>
      <w:adjustRightInd w:val="0"/>
      <w:snapToGrid w:val="0"/>
      <w:spacing w:line="240" w:lineRule="atLeast"/>
    </w:pPr>
    <w:rPr>
      <w:rFonts w:eastAsia="MS Mincho"/>
      <w:color w:val="000000" w:themeColor="text2"/>
      <w:sz w:val="18"/>
      <w:szCs w:val="18"/>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unhideWhenUsed/>
    <w:rsid w:val="00DD0835"/>
    <w:pPr>
      <w:adjustRightInd w:val="0"/>
      <w:snapToGrid w:val="0"/>
      <w:spacing w:line="240" w:lineRule="atLeast"/>
    </w:pPr>
    <w:rPr>
      <w:rFonts w:eastAsia="MS Mincho"/>
      <w:color w:val="000000" w:themeColor="text2"/>
      <w:sz w:val="18"/>
      <w:szCs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unhideWhenUsed/>
    <w:rsid w:val="00DD0835"/>
    <w:pPr>
      <w:adjustRightInd w:val="0"/>
      <w:snapToGrid w:val="0"/>
      <w:spacing w:line="240" w:lineRule="atLeast"/>
    </w:pPr>
    <w:rPr>
      <w:rFonts w:eastAsia="MS Mincho"/>
      <w:color w:val="000000" w:themeColor="text2"/>
      <w:sz w:val="18"/>
      <w:szCs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unhideWhenUsed/>
    <w:rsid w:val="00DD0835"/>
    <w:pPr>
      <w:adjustRightInd w:val="0"/>
      <w:snapToGrid w:val="0"/>
      <w:spacing w:line="240" w:lineRule="atLeast"/>
    </w:pPr>
    <w:rPr>
      <w:rFonts w:eastAsia="MS Mincho"/>
      <w:color w:val="000000" w:themeColor="text2"/>
      <w:sz w:val="18"/>
      <w:szCs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D0835"/>
    <w:rPr>
      <w:rFonts w:asciiTheme="majorHAnsi" w:eastAsiaTheme="majorEastAsia" w:hAnsiTheme="majorHAnsi" w:cstheme="majorBidi"/>
      <w:b/>
      <w:bCs/>
    </w:rPr>
  </w:style>
  <w:style w:type="paragraph" w:styleId="TOC5">
    <w:name w:val="toc 5"/>
    <w:basedOn w:val="Normal"/>
    <w:next w:val="Normal"/>
    <w:autoRedefine/>
    <w:uiPriority w:val="39"/>
    <w:semiHidden/>
    <w:rsid w:val="00DD0835"/>
    <w:pPr>
      <w:spacing w:after="100"/>
      <w:ind w:left="880"/>
    </w:pPr>
  </w:style>
  <w:style w:type="paragraph" w:styleId="TOC6">
    <w:name w:val="toc 6"/>
    <w:basedOn w:val="Normal"/>
    <w:next w:val="Normal"/>
    <w:autoRedefine/>
    <w:uiPriority w:val="39"/>
    <w:semiHidden/>
    <w:rsid w:val="00DD0835"/>
    <w:pPr>
      <w:spacing w:after="100"/>
      <w:ind w:left="1100"/>
    </w:pPr>
  </w:style>
  <w:style w:type="paragraph" w:styleId="TOC7">
    <w:name w:val="toc 7"/>
    <w:basedOn w:val="Normal"/>
    <w:next w:val="Normal"/>
    <w:autoRedefine/>
    <w:uiPriority w:val="39"/>
    <w:semiHidden/>
    <w:rsid w:val="00DD0835"/>
    <w:pPr>
      <w:spacing w:after="100"/>
      <w:ind w:left="1320"/>
    </w:pPr>
  </w:style>
  <w:style w:type="paragraph" w:styleId="TOC8">
    <w:name w:val="toc 8"/>
    <w:basedOn w:val="Normal"/>
    <w:next w:val="Normal"/>
    <w:autoRedefine/>
    <w:uiPriority w:val="39"/>
    <w:semiHidden/>
    <w:unhideWhenUsed/>
    <w:rsid w:val="00DD0835"/>
    <w:pPr>
      <w:spacing w:after="100"/>
      <w:ind w:left="1540"/>
    </w:pPr>
  </w:style>
  <w:style w:type="paragraph" w:styleId="TOC9">
    <w:name w:val="toc 9"/>
    <w:basedOn w:val="Normal"/>
    <w:next w:val="Normal"/>
    <w:autoRedefine/>
    <w:uiPriority w:val="39"/>
    <w:semiHidden/>
    <w:unhideWhenUsed/>
    <w:rsid w:val="00DD0835"/>
    <w:pPr>
      <w:spacing w:after="100"/>
      <w:ind w:left="1760"/>
    </w:pPr>
  </w:style>
  <w:style w:type="paragraph" w:styleId="TOCHeading">
    <w:name w:val="TOC Heading"/>
    <w:basedOn w:val="Normal"/>
    <w:next w:val="Normal"/>
    <w:uiPriority w:val="9"/>
    <w:qFormat/>
    <w:rsid w:val="0008226B"/>
    <w:pPr>
      <w:spacing w:before="0" w:after="680" w:line="400" w:lineRule="atLeast"/>
    </w:pPr>
    <w:rPr>
      <w:rFonts w:asciiTheme="majorHAnsi" w:hAnsiTheme="majorHAnsi"/>
      <w:color w:val="D5C8B6" w:themeColor="accent3"/>
      <w:sz w:val="36"/>
    </w:rPr>
  </w:style>
  <w:style w:type="table" w:customStyle="1" w:styleId="LayoutGrid">
    <w:name w:val="Layout Grid"/>
    <w:basedOn w:val="TableNormal"/>
    <w:uiPriority w:val="99"/>
    <w:rsid w:val="00DD0835"/>
    <w:tblPr>
      <w:tblCellMar>
        <w:left w:w="0" w:type="dxa"/>
        <w:right w:w="0" w:type="dxa"/>
      </w:tblCellMar>
    </w:tblPr>
  </w:style>
  <w:style w:type="character" w:customStyle="1" w:styleId="HeaderChar">
    <w:name w:val="Header Char"/>
    <w:link w:val="Header"/>
    <w:uiPriority w:val="99"/>
    <w:rsid w:val="00DD0835"/>
    <w:rPr>
      <w:rFonts w:eastAsiaTheme="minorEastAsia" w:cs="Arial"/>
      <w:sz w:val="16"/>
      <w:szCs w:val="16"/>
      <w:lang w:val="en-AU" w:eastAsia="x-none" w:bidi="he-IL"/>
    </w:rPr>
  </w:style>
  <w:style w:type="paragraph" w:styleId="TOC2">
    <w:name w:val="toc 2"/>
    <w:basedOn w:val="Normal"/>
    <w:next w:val="Normal"/>
    <w:uiPriority w:val="39"/>
    <w:rsid w:val="00374559"/>
    <w:pPr>
      <w:tabs>
        <w:tab w:val="left" w:pos="9497"/>
      </w:tabs>
      <w:spacing w:line="240" w:lineRule="atLeast"/>
      <w:ind w:left="1134" w:hanging="567"/>
    </w:pPr>
    <w:rPr>
      <w:bCs/>
      <w:noProof/>
      <w:color w:val="000000" w:themeColor="text1"/>
    </w:rPr>
  </w:style>
  <w:style w:type="paragraph" w:styleId="TOC3">
    <w:name w:val="toc 3"/>
    <w:basedOn w:val="Normal"/>
    <w:next w:val="Normal"/>
    <w:uiPriority w:val="39"/>
    <w:semiHidden/>
    <w:rsid w:val="00DD0835"/>
    <w:pPr>
      <w:tabs>
        <w:tab w:val="right" w:leader="dot" w:pos="7768"/>
      </w:tabs>
      <w:ind w:left="1701" w:hanging="1021"/>
    </w:pPr>
    <w:rPr>
      <w:color w:val="203136" w:themeColor="accent1"/>
      <w:sz w:val="24"/>
    </w:rPr>
  </w:style>
  <w:style w:type="character" w:customStyle="1" w:styleId="Heading4Char">
    <w:name w:val="Heading 4 Char"/>
    <w:basedOn w:val="DefaultParagraphFont"/>
    <w:link w:val="Heading4"/>
    <w:uiPriority w:val="2"/>
    <w:rsid w:val="00DD0835"/>
    <w:rPr>
      <w:rFonts w:asciiTheme="majorHAnsi" w:eastAsiaTheme="majorEastAsia" w:hAnsiTheme="majorHAnsi" w:cstheme="minorHAnsi"/>
      <w:bCs/>
      <w:color w:val="203136" w:themeColor="accent1"/>
      <w:lang w:val="en-AU" w:eastAsia="en-US"/>
    </w:rPr>
  </w:style>
  <w:style w:type="paragraph" w:styleId="TOC4">
    <w:name w:val="toc 4"/>
    <w:basedOn w:val="Normal"/>
    <w:next w:val="Normal"/>
    <w:autoRedefine/>
    <w:uiPriority w:val="39"/>
    <w:semiHidden/>
    <w:rsid w:val="00DD0835"/>
    <w:pPr>
      <w:spacing w:after="100"/>
      <w:ind w:left="660"/>
    </w:pPr>
  </w:style>
  <w:style w:type="table" w:styleId="GridTable5Dark-Accent2">
    <w:name w:val="Grid Table 5 Dark Accent 2"/>
    <w:basedOn w:val="TableNormal"/>
    <w:uiPriority w:val="50"/>
    <w:rsid w:val="00DD0835"/>
    <w:rPr>
      <w:rFonts w:cstheme="minorBidi"/>
      <w:color w:val="000000" w:themeColor="text1"/>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EE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FC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FC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FC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FC70" w:themeFill="accent2"/>
      </w:tcPr>
    </w:tblStylePr>
    <w:tblStylePr w:type="band1Vert">
      <w:tblPr/>
      <w:tcPr>
        <w:shd w:val="clear" w:color="auto" w:fill="F1FDC5" w:themeFill="accent2" w:themeFillTint="66"/>
      </w:tcPr>
    </w:tblStylePr>
    <w:tblStylePr w:type="band1Horz">
      <w:tblPr/>
      <w:tcPr>
        <w:shd w:val="clear" w:color="auto" w:fill="F1FDC5" w:themeFill="accent2" w:themeFillTint="66"/>
      </w:tcPr>
    </w:tblStylePr>
  </w:style>
  <w:style w:type="character" w:styleId="UnresolvedMention">
    <w:name w:val="Unresolved Mention"/>
    <w:basedOn w:val="DefaultParagraphFont"/>
    <w:uiPriority w:val="99"/>
    <w:semiHidden/>
    <w:unhideWhenUsed/>
    <w:rsid w:val="00DD0835"/>
    <w:rPr>
      <w:color w:val="605E5C"/>
      <w:shd w:val="clear" w:color="auto" w:fill="E1DFDD"/>
    </w:rPr>
  </w:style>
  <w:style w:type="character" w:customStyle="1" w:styleId="Heading2Char">
    <w:name w:val="Heading 2 Char"/>
    <w:basedOn w:val="DefaultParagraphFont"/>
    <w:link w:val="Heading2"/>
    <w:uiPriority w:val="2"/>
    <w:rsid w:val="00DD0835"/>
    <w:rPr>
      <w:rFonts w:asciiTheme="majorHAnsi" w:eastAsiaTheme="majorEastAsia" w:hAnsiTheme="majorHAnsi"/>
      <w:color w:val="D5C8B6" w:themeColor="accent3"/>
      <w:kern w:val="32"/>
      <w:sz w:val="28"/>
      <w:szCs w:val="28"/>
      <w:lang w:val="en-AU"/>
    </w:rPr>
  </w:style>
  <w:style w:type="numbering" w:customStyle="1" w:styleId="ListNumbers">
    <w:name w:val="ListNumbers"/>
    <w:uiPriority w:val="99"/>
    <w:rsid w:val="00DD0835"/>
    <w:pPr>
      <w:numPr>
        <w:numId w:val="3"/>
      </w:numPr>
    </w:pPr>
  </w:style>
  <w:style w:type="table" w:styleId="GridTable5Dark-Accent1">
    <w:name w:val="Grid Table 5 Dark Accent 1"/>
    <w:basedOn w:val="TableNormal"/>
    <w:uiPriority w:val="50"/>
    <w:rsid w:val="00DD0835"/>
    <w:pPr>
      <w:spacing w:before="240" w:line="280" w:lineRule="atLeast"/>
    </w:pPr>
    <w:rPr>
      <w:rFonts w:cstheme="minorBidi"/>
      <w:color w:val="000000" w:themeColor="text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DAD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313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313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313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3136" w:themeFill="accent1"/>
      </w:tcPr>
    </w:tblStylePr>
    <w:tblStylePr w:type="band1Vert">
      <w:tblPr/>
      <w:tcPr>
        <w:shd w:val="clear" w:color="auto" w:fill="94B6C0" w:themeFill="accent1" w:themeFillTint="66"/>
      </w:tcPr>
    </w:tblStylePr>
    <w:tblStylePr w:type="band1Horz">
      <w:tblPr/>
      <w:tcPr>
        <w:shd w:val="clear" w:color="auto" w:fill="94B6C0" w:themeFill="accent1" w:themeFillTint="66"/>
      </w:tcPr>
    </w:tblStylePr>
  </w:style>
  <w:style w:type="table" w:customStyle="1" w:styleId="TableElectraNet">
    <w:name w:val="Table_ElectraNet"/>
    <w:basedOn w:val="TableNormal"/>
    <w:uiPriority w:val="99"/>
    <w:rsid w:val="00DD0835"/>
    <w:tblPr>
      <w:tblStyleRowBandSize w:val="1"/>
      <w:tblBorders>
        <w:bottom w:val="single" w:sz="4" w:space="0" w:color="203136" w:themeColor="accent1"/>
        <w:insideH w:val="single" w:sz="4" w:space="0" w:color="203136" w:themeColor="accent1"/>
      </w:tblBorders>
      <w:tblCellMar>
        <w:top w:w="57" w:type="dxa"/>
        <w:left w:w="57" w:type="dxa"/>
        <w:bottom w:w="57" w:type="dxa"/>
        <w:right w:w="57" w:type="dxa"/>
      </w:tblCellMar>
    </w:tblPr>
    <w:tcPr>
      <w:shd w:val="clear" w:color="auto" w:fill="auto"/>
    </w:tcPr>
    <w:tblStylePr w:type="firstRow">
      <w:pPr>
        <w:jc w:val="left"/>
      </w:pPr>
      <w:rPr>
        <w:rFonts w:asciiTheme="majorHAnsi" w:hAnsiTheme="majorHAnsi"/>
        <w:b w:val="0"/>
        <w:i w:val="0"/>
        <w:caps w:val="0"/>
        <w:smallCaps w:val="0"/>
        <w:color w:val="DDFC70" w:themeColor="accent2"/>
        <w:sz w:val="18"/>
      </w:rPr>
      <w:tblPr/>
      <w:trPr>
        <w:tblHeader/>
      </w:trPr>
      <w:tcPr>
        <w:tcBorders>
          <w:top w:val="nil"/>
          <w:left w:val="nil"/>
          <w:bottom w:val="nil"/>
          <w:right w:val="nil"/>
          <w:insideH w:val="nil"/>
          <w:insideV w:val="nil"/>
          <w:tl2br w:val="nil"/>
          <w:tr2bl w:val="nil"/>
        </w:tcBorders>
        <w:shd w:val="clear" w:color="auto" w:fill="203136" w:themeFill="accent1"/>
        <w:vAlign w:val="center"/>
      </w:tcPr>
    </w:tblStylePr>
    <w:tblStylePr w:type="lastRow">
      <w:pPr>
        <w:jc w:val="left"/>
      </w:pPr>
      <w:rPr>
        <w:color w:val="DDFC70" w:themeColor="accent2"/>
      </w:rPr>
      <w:tblPr/>
      <w:tcPr>
        <w:tcBorders>
          <w:top w:val="single" w:sz="4" w:space="0" w:color="203136" w:themeColor="accent1"/>
          <w:left w:val="nil"/>
          <w:bottom w:val="single" w:sz="4" w:space="0" w:color="203136" w:themeColor="accent1"/>
          <w:right w:val="nil"/>
          <w:insideH w:val="nil"/>
          <w:insideV w:val="nil"/>
          <w:tl2br w:val="nil"/>
          <w:tr2bl w:val="nil"/>
        </w:tcBorders>
        <w:shd w:val="clear" w:color="auto" w:fill="203136" w:themeFill="accent1"/>
        <w:vAlign w:val="center"/>
      </w:tcPr>
    </w:tblStylePr>
    <w:tblStylePr w:type="band1Horz">
      <w:tblPr/>
      <w:tcPr>
        <w:tcBorders>
          <w:top w:val="single" w:sz="4" w:space="0" w:color="203136" w:themeColor="accent1"/>
          <w:left w:val="nil"/>
          <w:bottom w:val="single" w:sz="4" w:space="0" w:color="203136" w:themeColor="accent1"/>
          <w:right w:val="nil"/>
          <w:insideH w:val="single" w:sz="4" w:space="0" w:color="auto"/>
          <w:insideV w:val="nil"/>
          <w:tl2br w:val="nil"/>
          <w:tr2bl w:val="nil"/>
        </w:tcBorders>
        <w:shd w:val="clear" w:color="auto" w:fill="auto"/>
      </w:tcPr>
    </w:tblStylePr>
    <w:tblStylePr w:type="band2Horz">
      <w:tblPr/>
      <w:tcPr>
        <w:tcBorders>
          <w:top w:val="single" w:sz="4" w:space="0" w:color="203136" w:themeColor="accent1"/>
          <w:left w:val="nil"/>
          <w:bottom w:val="single" w:sz="4" w:space="0" w:color="203136" w:themeColor="accent1"/>
          <w:right w:val="nil"/>
          <w:insideH w:val="nil"/>
          <w:insideV w:val="nil"/>
          <w:tl2br w:val="nil"/>
          <w:tr2bl w:val="nil"/>
        </w:tcBorders>
        <w:shd w:val="clear" w:color="auto" w:fill="auto"/>
      </w:tcPr>
    </w:tblStylePr>
  </w:style>
  <w:style w:type="character" w:customStyle="1" w:styleId="Heading1Char">
    <w:name w:val="Heading 1 Char"/>
    <w:basedOn w:val="DefaultParagraphFont"/>
    <w:link w:val="Heading1"/>
    <w:uiPriority w:val="2"/>
    <w:rsid w:val="00DD0835"/>
    <w:rPr>
      <w:rFonts w:asciiTheme="majorHAnsi" w:eastAsiaTheme="majorEastAsia" w:hAnsiTheme="majorHAnsi"/>
      <w:iCs/>
      <w:color w:val="889EA6" w:themeColor="accent4"/>
      <w:kern w:val="32"/>
      <w:sz w:val="32"/>
      <w:szCs w:val="32"/>
      <w:lang w:val="en-AU"/>
    </w:rPr>
  </w:style>
  <w:style w:type="character" w:customStyle="1" w:styleId="Heading3Char">
    <w:name w:val="Heading 3 Char"/>
    <w:basedOn w:val="DefaultParagraphFont"/>
    <w:link w:val="Heading3"/>
    <w:uiPriority w:val="2"/>
    <w:rsid w:val="00DD0835"/>
    <w:rPr>
      <w:rFonts w:asciiTheme="majorHAnsi" w:hAnsiTheme="majorHAnsi" w:cstheme="minorHAnsi"/>
      <w:color w:val="B8D0EC" w:themeColor="accent5"/>
      <w:sz w:val="24"/>
      <w:szCs w:val="24"/>
      <w:lang w:val="en-AU"/>
    </w:rPr>
  </w:style>
  <w:style w:type="character" w:customStyle="1" w:styleId="Heading5Char">
    <w:name w:val="Heading 5 Char"/>
    <w:link w:val="Heading5"/>
    <w:semiHidden/>
    <w:rsid w:val="00DD0835"/>
    <w:rPr>
      <w:rFonts w:eastAsiaTheme="majorEastAsia" w:cstheme="majorBidi"/>
      <w:b/>
      <w:bCs/>
      <w:color w:val="FFFFFF" w:themeColor="background2"/>
      <w:sz w:val="44"/>
      <w:lang w:val="en-AU" w:eastAsia="x-none" w:bidi="he-IL"/>
    </w:rPr>
  </w:style>
  <w:style w:type="character" w:customStyle="1" w:styleId="Heading6Char">
    <w:name w:val="Heading 6 Char"/>
    <w:basedOn w:val="DefaultParagraphFont"/>
    <w:link w:val="Heading6"/>
    <w:semiHidden/>
    <w:rsid w:val="00DD0835"/>
    <w:rPr>
      <w:rFonts w:eastAsiaTheme="majorEastAsia"/>
      <w:color w:val="000080"/>
      <w:sz w:val="52"/>
      <w:lang w:val="en-US"/>
    </w:rPr>
  </w:style>
  <w:style w:type="character" w:customStyle="1" w:styleId="Heading7Char">
    <w:name w:val="Heading 7 Char"/>
    <w:basedOn w:val="DefaultParagraphFont"/>
    <w:link w:val="Heading7"/>
    <w:semiHidden/>
    <w:rsid w:val="00DD0835"/>
    <w:rPr>
      <w:rFonts w:eastAsiaTheme="majorEastAsia"/>
      <w:b/>
      <w:bCs/>
      <w:lang w:val="en-AU"/>
    </w:rPr>
  </w:style>
  <w:style w:type="paragraph" w:styleId="Quote">
    <w:name w:val="Quote"/>
    <w:basedOn w:val="Normal"/>
    <w:next w:val="Normal"/>
    <w:link w:val="QuoteChar"/>
    <w:uiPriority w:val="9"/>
    <w:qFormat/>
    <w:rsid w:val="00DD0835"/>
    <w:pPr>
      <w:spacing w:line="240" w:lineRule="atLeast"/>
      <w:ind w:left="1021" w:right="1021"/>
    </w:pPr>
    <w:rPr>
      <w:i/>
      <w:iCs/>
      <w:sz w:val="22"/>
    </w:rPr>
  </w:style>
  <w:style w:type="character" w:customStyle="1" w:styleId="QuoteChar">
    <w:name w:val="Quote Char"/>
    <w:basedOn w:val="DefaultParagraphFont"/>
    <w:link w:val="Quote"/>
    <w:uiPriority w:val="9"/>
    <w:rsid w:val="00DD0835"/>
    <w:rPr>
      <w:i/>
      <w:iCs/>
      <w:sz w:val="22"/>
      <w:lang w:val="en-AU"/>
    </w:rPr>
  </w:style>
  <w:style w:type="paragraph" w:customStyle="1" w:styleId="SourceNotes">
    <w:name w:val="Source Notes"/>
    <w:basedOn w:val="Normal"/>
    <w:uiPriority w:val="99"/>
    <w:semiHidden/>
    <w:rsid w:val="00DD0835"/>
    <w:pPr>
      <w:spacing w:before="60" w:after="60" w:line="200" w:lineRule="atLeast"/>
    </w:pPr>
    <w:rPr>
      <w:sz w:val="16"/>
    </w:rPr>
  </w:style>
  <w:style w:type="paragraph" w:customStyle="1" w:styleId="SourceNotesHeading">
    <w:name w:val="Source Notes Heading"/>
    <w:basedOn w:val="SourceNotes"/>
    <w:uiPriority w:val="99"/>
    <w:semiHidden/>
    <w:rsid w:val="00DD0835"/>
    <w:pPr>
      <w:spacing w:before="120"/>
    </w:pPr>
    <w:rPr>
      <w:rFonts w:asciiTheme="majorHAnsi" w:hAnsiTheme="majorHAnsi"/>
      <w:b/>
    </w:rPr>
  </w:style>
  <w:style w:type="paragraph" w:customStyle="1" w:styleId="SourceNotesNumbered">
    <w:name w:val="Source Notes Numbered"/>
    <w:basedOn w:val="SourceNotes"/>
    <w:uiPriority w:val="99"/>
    <w:semiHidden/>
    <w:rsid w:val="00DD0835"/>
    <w:pPr>
      <w:numPr>
        <w:numId w:val="14"/>
      </w:numPr>
    </w:pPr>
  </w:style>
  <w:style w:type="character" w:styleId="FootnoteReference">
    <w:name w:val="footnote reference"/>
    <w:basedOn w:val="DefaultParagraphFont"/>
    <w:uiPriority w:val="99"/>
    <w:semiHidden/>
    <w:unhideWhenUsed/>
    <w:rsid w:val="00DD0835"/>
    <w:rPr>
      <w:vertAlign w:val="superscript"/>
    </w:rPr>
  </w:style>
  <w:style w:type="character" w:styleId="PlaceholderText">
    <w:name w:val="Placeholder Text"/>
    <w:basedOn w:val="DefaultParagraphFont"/>
    <w:uiPriority w:val="99"/>
    <w:rsid w:val="00DD0835"/>
    <w:rPr>
      <w:color w:val="C00000"/>
    </w:rPr>
  </w:style>
  <w:style w:type="numbering" w:customStyle="1" w:styleId="Bullets">
    <w:name w:val="Bullets"/>
    <w:uiPriority w:val="99"/>
    <w:rsid w:val="00DD0835"/>
    <w:pPr>
      <w:numPr>
        <w:numId w:val="1"/>
      </w:numPr>
    </w:pPr>
  </w:style>
  <w:style w:type="paragraph" w:customStyle="1" w:styleId="GridText">
    <w:name w:val="Grid Text"/>
    <w:basedOn w:val="Normal"/>
    <w:semiHidden/>
    <w:qFormat/>
    <w:rsid w:val="00DD0835"/>
    <w:rPr>
      <w:color w:val="FFFFFF" w:themeColor="background2"/>
    </w:rPr>
  </w:style>
  <w:style w:type="character" w:customStyle="1" w:styleId="Heading8Char">
    <w:name w:val="Heading 8 Char"/>
    <w:basedOn w:val="DefaultParagraphFont"/>
    <w:link w:val="Heading8"/>
    <w:uiPriority w:val="9"/>
    <w:semiHidden/>
    <w:rsid w:val="00DD0835"/>
    <w:rPr>
      <w:rFonts w:asciiTheme="majorHAnsi" w:eastAsiaTheme="majorEastAsia" w:hAnsiTheme="majorHAnsi" w:cstheme="majorBidi"/>
      <w:color w:val="404040" w:themeColor="text1" w:themeTint="BF"/>
      <w:lang w:val="en-AU"/>
    </w:rPr>
  </w:style>
  <w:style w:type="character" w:customStyle="1" w:styleId="Heading9Char">
    <w:name w:val="Heading 9 Char"/>
    <w:basedOn w:val="DefaultParagraphFont"/>
    <w:link w:val="Heading9"/>
    <w:uiPriority w:val="9"/>
    <w:semiHidden/>
    <w:rsid w:val="00DD0835"/>
    <w:rPr>
      <w:rFonts w:asciiTheme="majorHAnsi" w:eastAsiaTheme="majorEastAsia" w:hAnsiTheme="majorHAnsi" w:cstheme="majorBidi"/>
      <w:i/>
      <w:iCs/>
      <w:color w:val="404040" w:themeColor="text1" w:themeTint="BF"/>
      <w:lang w:val="en-AU"/>
    </w:rPr>
  </w:style>
  <w:style w:type="paragraph" w:styleId="List5">
    <w:name w:val="List 5"/>
    <w:basedOn w:val="Normal"/>
    <w:uiPriority w:val="99"/>
    <w:semiHidden/>
    <w:unhideWhenUsed/>
    <w:rsid w:val="00DD0835"/>
    <w:pPr>
      <w:ind w:left="1415" w:hanging="283"/>
      <w:contextualSpacing/>
    </w:pPr>
  </w:style>
  <w:style w:type="table" w:styleId="PlainTable1">
    <w:name w:val="Plain Table 1"/>
    <w:basedOn w:val="TableNormal"/>
    <w:uiPriority w:val="41"/>
    <w:rsid w:val="00DD0835"/>
    <w:rPr>
      <w:rFonts w:eastAsia="Times New Roman"/>
      <w:color w:val="000000" w:themeColor="text2"/>
      <w:sz w:val="18"/>
      <w:szCs w:val="18"/>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D0835"/>
    <w:pPr>
      <w:spacing w:line="240" w:lineRule="atLeast"/>
    </w:pPr>
    <w:rPr>
      <w:rFonts w:eastAsia="Times New Roman"/>
      <w:color w:val="000000" w:themeColor="text2"/>
      <w:sz w:val="18"/>
      <w:szCs w:val="18"/>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DD0835"/>
    <w:rPr>
      <w:color w:val="605E5C"/>
      <w:shd w:val="clear" w:color="auto" w:fill="E1DFDD"/>
    </w:rPr>
  </w:style>
  <w:style w:type="paragraph" w:styleId="Title">
    <w:name w:val="Title"/>
    <w:basedOn w:val="Normal"/>
    <w:next w:val="Normal"/>
    <w:link w:val="TitleChar"/>
    <w:rsid w:val="00FA2279"/>
    <w:pPr>
      <w:spacing w:before="0" w:line="760" w:lineRule="exact"/>
      <w:contextualSpacing/>
    </w:pPr>
    <w:rPr>
      <w:rFonts w:asciiTheme="majorHAnsi" w:eastAsiaTheme="majorEastAsia" w:hAnsiTheme="majorHAnsi" w:cstheme="majorBidi"/>
      <w:color w:val="DDFC70" w:themeColor="accent2"/>
      <w:kern w:val="28"/>
      <w:sz w:val="76"/>
      <w:szCs w:val="56"/>
    </w:rPr>
  </w:style>
  <w:style w:type="character" w:customStyle="1" w:styleId="TitleChar">
    <w:name w:val="Title Char"/>
    <w:basedOn w:val="DefaultParagraphFont"/>
    <w:link w:val="Title"/>
    <w:rsid w:val="00FA2279"/>
    <w:rPr>
      <w:rFonts w:asciiTheme="majorHAnsi" w:eastAsiaTheme="majorEastAsia" w:hAnsiTheme="majorHAnsi" w:cstheme="majorBidi"/>
      <w:color w:val="DDFC70" w:themeColor="accent2"/>
      <w:kern w:val="28"/>
      <w:sz w:val="76"/>
      <w:szCs w:val="56"/>
      <w:lang w:val="en-AU"/>
    </w:rPr>
  </w:style>
  <w:style w:type="paragraph" w:styleId="ListNumber">
    <w:name w:val="List Number"/>
    <w:basedOn w:val="Normal"/>
    <w:uiPriority w:val="4"/>
    <w:qFormat/>
    <w:rsid w:val="00DD0835"/>
    <w:pPr>
      <w:numPr>
        <w:numId w:val="11"/>
      </w:numPr>
      <w:ind w:left="1701" w:hanging="1701"/>
      <w:contextualSpacing/>
    </w:pPr>
  </w:style>
  <w:style w:type="numbering" w:customStyle="1" w:styleId="NumberedHeadings">
    <w:name w:val="NumberedHeadings"/>
    <w:uiPriority w:val="99"/>
    <w:rsid w:val="00DD0835"/>
    <w:pPr>
      <w:numPr>
        <w:numId w:val="2"/>
      </w:numPr>
    </w:pPr>
  </w:style>
  <w:style w:type="paragraph" w:styleId="ListBullet3">
    <w:name w:val="List Bullet 3"/>
    <w:basedOn w:val="Normal"/>
    <w:uiPriority w:val="4"/>
    <w:rsid w:val="00DD0835"/>
    <w:pPr>
      <w:numPr>
        <w:ilvl w:val="2"/>
        <w:numId w:val="9"/>
      </w:numPr>
      <w:ind w:hanging="680"/>
      <w:contextualSpacing/>
    </w:pPr>
  </w:style>
  <w:style w:type="paragraph" w:styleId="Caption">
    <w:name w:val="caption"/>
    <w:basedOn w:val="Normal"/>
    <w:next w:val="Normal"/>
    <w:uiPriority w:val="10"/>
    <w:qFormat/>
    <w:rsid w:val="00127276"/>
    <w:pPr>
      <w:spacing w:line="240" w:lineRule="atLeast"/>
    </w:pPr>
    <w:rPr>
      <w:b/>
      <w:iCs/>
      <w:color w:val="203136" w:themeColor="accent1"/>
      <w:sz w:val="18"/>
      <w:szCs w:val="18"/>
    </w:rPr>
  </w:style>
  <w:style w:type="paragraph" w:customStyle="1" w:styleId="Heading1Numbered">
    <w:name w:val="Heading 1 Numbered"/>
    <w:basedOn w:val="Heading1"/>
    <w:next w:val="Normal"/>
    <w:uiPriority w:val="2"/>
    <w:qFormat/>
    <w:rsid w:val="00DD0835"/>
    <w:pPr>
      <w:numPr>
        <w:numId w:val="12"/>
      </w:numPr>
      <w:ind w:left="340" w:hanging="340"/>
    </w:pPr>
  </w:style>
  <w:style w:type="paragraph" w:customStyle="1" w:styleId="Heading2Numbered">
    <w:name w:val="Heading 2 Numbered"/>
    <w:basedOn w:val="Heading2"/>
    <w:next w:val="Normal"/>
    <w:uiPriority w:val="2"/>
    <w:qFormat/>
    <w:rsid w:val="00DD0835"/>
    <w:pPr>
      <w:numPr>
        <w:ilvl w:val="1"/>
        <w:numId w:val="12"/>
      </w:numPr>
    </w:pPr>
  </w:style>
  <w:style w:type="paragraph" w:customStyle="1" w:styleId="Heading3Numbered">
    <w:name w:val="Heading 3 Numbered"/>
    <w:basedOn w:val="Heading3"/>
    <w:next w:val="Normal"/>
    <w:uiPriority w:val="2"/>
    <w:qFormat/>
    <w:rsid w:val="00DD0835"/>
    <w:pPr>
      <w:numPr>
        <w:ilvl w:val="2"/>
        <w:numId w:val="12"/>
      </w:numPr>
      <w:tabs>
        <w:tab w:val="num" w:pos="680"/>
      </w:tabs>
      <w:ind w:left="1021" w:hanging="341"/>
    </w:pPr>
  </w:style>
  <w:style w:type="paragraph" w:customStyle="1" w:styleId="Appendix">
    <w:name w:val="Appendix"/>
    <w:basedOn w:val="Heading1"/>
    <w:next w:val="Normal"/>
    <w:uiPriority w:val="3"/>
    <w:qFormat/>
    <w:rsid w:val="00DD0835"/>
    <w:pPr>
      <w:pageBreakBefore/>
      <w:numPr>
        <w:numId w:val="7"/>
      </w:numPr>
    </w:pPr>
  </w:style>
  <w:style w:type="numbering" w:customStyle="1" w:styleId="AppendixHeading">
    <w:name w:val="AppendixHeading"/>
    <w:uiPriority w:val="99"/>
    <w:rsid w:val="00DD0835"/>
    <w:pPr>
      <w:numPr>
        <w:numId w:val="4"/>
      </w:numPr>
    </w:pPr>
  </w:style>
  <w:style w:type="paragraph" w:customStyle="1" w:styleId="AppendixSubheading">
    <w:name w:val="Appendix Subheading"/>
    <w:basedOn w:val="Heading2"/>
    <w:next w:val="Normal"/>
    <w:uiPriority w:val="3"/>
    <w:qFormat/>
    <w:rsid w:val="00DD0835"/>
    <w:pPr>
      <w:numPr>
        <w:ilvl w:val="1"/>
        <w:numId w:val="7"/>
      </w:numPr>
    </w:pPr>
  </w:style>
  <w:style w:type="paragraph" w:customStyle="1" w:styleId="TableHeading2">
    <w:name w:val="Table Heading 2"/>
    <w:basedOn w:val="TableHeading"/>
    <w:next w:val="Normal"/>
    <w:uiPriority w:val="5"/>
    <w:qFormat/>
    <w:rsid w:val="00DD0835"/>
    <w:rPr>
      <w:color w:val="auto"/>
    </w:rPr>
  </w:style>
  <w:style w:type="paragraph" w:customStyle="1" w:styleId="TableListNumber">
    <w:name w:val="Table List Number"/>
    <w:basedOn w:val="TableText"/>
    <w:uiPriority w:val="6"/>
    <w:qFormat/>
    <w:rsid w:val="00DD0835"/>
    <w:pPr>
      <w:numPr>
        <w:numId w:val="16"/>
      </w:numPr>
    </w:pPr>
  </w:style>
  <w:style w:type="numbering" w:customStyle="1" w:styleId="TableNumbers">
    <w:name w:val="TableNumbers"/>
    <w:uiPriority w:val="99"/>
    <w:rsid w:val="00DD0835"/>
    <w:pPr>
      <w:numPr>
        <w:numId w:val="5"/>
      </w:numPr>
    </w:pPr>
  </w:style>
  <w:style w:type="paragraph" w:customStyle="1" w:styleId="TableListNumber2">
    <w:name w:val="Table List Number 2"/>
    <w:basedOn w:val="TableText"/>
    <w:uiPriority w:val="6"/>
    <w:qFormat/>
    <w:rsid w:val="00DD0835"/>
    <w:pPr>
      <w:numPr>
        <w:ilvl w:val="1"/>
        <w:numId w:val="16"/>
      </w:numPr>
    </w:pPr>
  </w:style>
  <w:style w:type="paragraph" w:customStyle="1" w:styleId="TableListNumber3">
    <w:name w:val="Table List Number 3"/>
    <w:basedOn w:val="TableText"/>
    <w:uiPriority w:val="6"/>
    <w:qFormat/>
    <w:rsid w:val="00DD0835"/>
    <w:pPr>
      <w:numPr>
        <w:ilvl w:val="2"/>
        <w:numId w:val="16"/>
      </w:numPr>
    </w:pPr>
  </w:style>
  <w:style w:type="paragraph" w:customStyle="1" w:styleId="TableBullet">
    <w:name w:val="Table Bullet"/>
    <w:basedOn w:val="TableText"/>
    <w:uiPriority w:val="7"/>
    <w:qFormat/>
    <w:rsid w:val="00DD0835"/>
    <w:pPr>
      <w:numPr>
        <w:numId w:val="15"/>
      </w:numPr>
    </w:pPr>
  </w:style>
  <w:style w:type="paragraph" w:customStyle="1" w:styleId="TableBullet2">
    <w:name w:val="Table Bullet 2"/>
    <w:basedOn w:val="TableText"/>
    <w:uiPriority w:val="7"/>
    <w:qFormat/>
    <w:rsid w:val="00DD0835"/>
    <w:pPr>
      <w:numPr>
        <w:ilvl w:val="1"/>
        <w:numId w:val="15"/>
      </w:numPr>
    </w:pPr>
  </w:style>
  <w:style w:type="paragraph" w:customStyle="1" w:styleId="TableBullet3">
    <w:name w:val="Table Bullet 3"/>
    <w:basedOn w:val="TableText"/>
    <w:uiPriority w:val="7"/>
    <w:qFormat/>
    <w:rsid w:val="00DD0835"/>
    <w:pPr>
      <w:numPr>
        <w:ilvl w:val="2"/>
        <w:numId w:val="15"/>
      </w:numPr>
    </w:pPr>
  </w:style>
  <w:style w:type="numbering" w:customStyle="1" w:styleId="TableBullets">
    <w:name w:val="TableBullets"/>
    <w:uiPriority w:val="99"/>
    <w:rsid w:val="00DD0835"/>
    <w:pPr>
      <w:numPr>
        <w:numId w:val="6"/>
      </w:numPr>
    </w:pPr>
  </w:style>
  <w:style w:type="paragraph" w:customStyle="1" w:styleId="AppendixSubheading2">
    <w:name w:val="Appendix Subheading 2"/>
    <w:basedOn w:val="Heading3"/>
    <w:next w:val="Normal"/>
    <w:uiPriority w:val="3"/>
    <w:qFormat/>
    <w:rsid w:val="00DD0835"/>
  </w:style>
  <w:style w:type="paragraph" w:customStyle="1" w:styleId="ListBullet2Indent">
    <w:name w:val="List Bullet 2 Indent"/>
    <w:basedOn w:val="ListBullet2"/>
    <w:uiPriority w:val="4"/>
    <w:qFormat/>
    <w:rsid w:val="00DD0835"/>
    <w:pPr>
      <w:numPr>
        <w:ilvl w:val="0"/>
        <w:numId w:val="0"/>
      </w:numPr>
      <w:ind w:left="680"/>
    </w:pPr>
  </w:style>
  <w:style w:type="paragraph" w:customStyle="1" w:styleId="ListBullet3Indent">
    <w:name w:val="List Bullet 3 Indent"/>
    <w:basedOn w:val="ListBullet3"/>
    <w:uiPriority w:val="4"/>
    <w:qFormat/>
    <w:rsid w:val="00DD0835"/>
    <w:pPr>
      <w:numPr>
        <w:ilvl w:val="0"/>
        <w:numId w:val="0"/>
      </w:numPr>
      <w:ind w:left="1021"/>
    </w:pPr>
  </w:style>
  <w:style w:type="paragraph" w:customStyle="1" w:styleId="ListBulletIndent">
    <w:name w:val="List Bullet Indent"/>
    <w:basedOn w:val="ListBullet"/>
    <w:uiPriority w:val="3"/>
    <w:qFormat/>
    <w:rsid w:val="00DD0835"/>
    <w:pPr>
      <w:numPr>
        <w:numId w:val="0"/>
      </w:numPr>
      <w:ind w:left="340"/>
    </w:pPr>
  </w:style>
  <w:style w:type="paragraph" w:customStyle="1" w:styleId="ListNumber2Indent">
    <w:name w:val="List Number 2 Indent"/>
    <w:basedOn w:val="ListNumber2"/>
    <w:uiPriority w:val="5"/>
    <w:qFormat/>
    <w:rsid w:val="00DD0835"/>
    <w:pPr>
      <w:numPr>
        <w:ilvl w:val="0"/>
        <w:numId w:val="0"/>
      </w:numPr>
      <w:ind w:left="680"/>
    </w:pPr>
  </w:style>
  <w:style w:type="paragraph" w:customStyle="1" w:styleId="ListNumber3Indent">
    <w:name w:val="List Number 3 Indent"/>
    <w:basedOn w:val="ListNumber3"/>
    <w:uiPriority w:val="5"/>
    <w:qFormat/>
    <w:rsid w:val="00DD0835"/>
    <w:pPr>
      <w:numPr>
        <w:ilvl w:val="0"/>
        <w:numId w:val="0"/>
      </w:numPr>
      <w:ind w:left="1021"/>
    </w:pPr>
  </w:style>
  <w:style w:type="paragraph" w:customStyle="1" w:styleId="ListNumberIndent">
    <w:name w:val="List Number Indent"/>
    <w:basedOn w:val="ListNumber"/>
    <w:uiPriority w:val="4"/>
    <w:qFormat/>
    <w:rsid w:val="00DD0835"/>
    <w:pPr>
      <w:numPr>
        <w:numId w:val="0"/>
      </w:numPr>
      <w:ind w:left="340"/>
    </w:pPr>
  </w:style>
  <w:style w:type="paragraph" w:styleId="Subtitle">
    <w:name w:val="Subtitle"/>
    <w:basedOn w:val="Normal"/>
    <w:next w:val="Normal"/>
    <w:link w:val="SubtitleChar"/>
    <w:qFormat/>
    <w:rsid w:val="00FA2279"/>
    <w:pPr>
      <w:numPr>
        <w:ilvl w:val="1"/>
      </w:numPr>
      <w:spacing w:after="240" w:line="520" w:lineRule="atLeast"/>
    </w:pPr>
    <w:rPr>
      <w:rFonts w:asciiTheme="majorHAnsi" w:eastAsiaTheme="minorEastAsia" w:hAnsiTheme="majorHAnsi" w:cstheme="minorBidi"/>
      <w:color w:val="B8D0EC" w:themeColor="accent5"/>
      <w:sz w:val="48"/>
      <w:szCs w:val="22"/>
    </w:rPr>
  </w:style>
  <w:style w:type="character" w:customStyle="1" w:styleId="SubtitleChar">
    <w:name w:val="Subtitle Char"/>
    <w:basedOn w:val="DefaultParagraphFont"/>
    <w:link w:val="Subtitle"/>
    <w:rsid w:val="00FA2279"/>
    <w:rPr>
      <w:rFonts w:asciiTheme="majorHAnsi" w:eastAsiaTheme="minorEastAsia" w:hAnsiTheme="majorHAnsi" w:cstheme="minorBidi"/>
      <w:color w:val="B8D0EC" w:themeColor="accent5"/>
      <w:sz w:val="48"/>
      <w:szCs w:val="22"/>
      <w:lang w:val="en-AU"/>
    </w:rPr>
  </w:style>
  <w:style w:type="paragraph" w:styleId="Date">
    <w:name w:val="Date"/>
    <w:basedOn w:val="Normal"/>
    <w:next w:val="Normal"/>
    <w:link w:val="DateChar"/>
    <w:rsid w:val="00FA2279"/>
    <w:pPr>
      <w:spacing w:before="240" w:after="0" w:line="320" w:lineRule="atLeast"/>
    </w:pPr>
    <w:rPr>
      <w:rFonts w:asciiTheme="majorHAnsi" w:hAnsiTheme="majorHAnsi"/>
      <w:color w:val="DDFC70" w:themeColor="accent2"/>
      <w:sz w:val="32"/>
    </w:rPr>
  </w:style>
  <w:style w:type="character" w:customStyle="1" w:styleId="DateChar">
    <w:name w:val="Date Char"/>
    <w:basedOn w:val="DefaultParagraphFont"/>
    <w:link w:val="Date"/>
    <w:rsid w:val="00FA2279"/>
    <w:rPr>
      <w:rFonts w:asciiTheme="majorHAnsi" w:hAnsiTheme="majorHAnsi"/>
      <w:color w:val="DDFC70" w:themeColor="accent2"/>
      <w:sz w:val="32"/>
      <w:lang w:val="en-AU"/>
    </w:rPr>
  </w:style>
  <w:style w:type="paragraph" w:customStyle="1" w:styleId="RevisionHeading">
    <w:name w:val="Revision Heading"/>
    <w:basedOn w:val="Heading2"/>
    <w:qFormat/>
    <w:rsid w:val="0008226B"/>
    <w:pPr>
      <w:spacing w:before="2000"/>
    </w:pPr>
    <w:rPr>
      <w:sz w:val="36"/>
      <w:lang w:val="en-US"/>
    </w:rPr>
  </w:style>
  <w:style w:type="paragraph" w:customStyle="1" w:styleId="CopyrightText">
    <w:name w:val="Copyright Text"/>
    <w:basedOn w:val="Footer"/>
    <w:qFormat/>
    <w:rsid w:val="0008226B"/>
    <w:pPr>
      <w:spacing w:line="220" w:lineRule="exact"/>
    </w:pPr>
    <w:rPr>
      <w:color w:val="000000" w:themeColor="text1"/>
      <w:sz w:val="18"/>
    </w:rPr>
  </w:style>
  <w:style w:type="paragraph" w:customStyle="1" w:styleId="CopyrightHeading">
    <w:name w:val="Copyright Heading"/>
    <w:basedOn w:val="CopyrightText"/>
    <w:qFormat/>
    <w:rsid w:val="0008226B"/>
    <w:rPr>
      <w:rFonts w:asciiTheme="majorHAnsi" w:hAnsiTheme="majorHAnsi"/>
      <w:caps/>
    </w:rPr>
  </w:style>
  <w:style w:type="paragraph" w:customStyle="1" w:styleId="TableofTables">
    <w:name w:val="Table of Tables"/>
    <w:basedOn w:val="TableofFigures"/>
    <w:next w:val="Normal"/>
    <w:uiPriority w:val="39"/>
    <w:rsid w:val="00374559"/>
    <w:pPr>
      <w:tabs>
        <w:tab w:val="clear" w:pos="9497"/>
        <w:tab w:val="right" w:pos="10195"/>
      </w:tabs>
      <w:adjustRightInd/>
      <w:snapToGrid/>
      <w:spacing w:before="0" w:after="100" w:line="250" w:lineRule="atLeast"/>
    </w:pPr>
    <w:rPr>
      <w:rFonts w:eastAsia="Times New Roman"/>
      <w:snapToGrid w:val="0"/>
      <w:color w:val="000000" w:themeColor="text2"/>
      <w:szCs w:val="19"/>
      <w:lang w:eastAsia="en-AU"/>
    </w:rPr>
  </w:style>
  <w:style w:type="paragraph" w:customStyle="1" w:styleId="TOCHeading2">
    <w:name w:val="TOC Heading 2"/>
    <w:basedOn w:val="TOCHeading"/>
    <w:uiPriority w:val="9"/>
    <w:qFormat/>
    <w:rsid w:val="00374559"/>
    <w:pPr>
      <w:spacing w:after="120" w:line="260" w:lineRule="atLeast"/>
    </w:pPr>
    <w:rPr>
      <w:color w:val="889EA6" w:themeColor="accent4"/>
      <w:sz w:val="22"/>
    </w:rPr>
  </w:style>
  <w:style w:type="numbering" w:customStyle="1" w:styleId="ClientBullets">
    <w:name w:val="Client Bullets"/>
    <w:uiPriority w:val="99"/>
    <w:rsid w:val="00374559"/>
    <w:pPr>
      <w:numPr>
        <w:numId w:val="17"/>
      </w:numPr>
    </w:pPr>
  </w:style>
  <w:style w:type="paragraph" w:styleId="ListParagraph">
    <w:name w:val="List Paragraph"/>
    <w:basedOn w:val="Normal"/>
    <w:uiPriority w:val="34"/>
    <w:qFormat/>
    <w:rsid w:val="004606CD"/>
    <w:pPr>
      <w:ind w:left="720"/>
      <w:contextualSpacing/>
    </w:pPr>
  </w:style>
  <w:style w:type="character" w:styleId="IntenseEmphasis">
    <w:name w:val="Intense Emphasis"/>
    <w:basedOn w:val="DefaultParagraphFont"/>
    <w:uiPriority w:val="21"/>
    <w:semiHidden/>
    <w:qFormat/>
    <w:rsid w:val="004606CD"/>
    <w:rPr>
      <w:i/>
      <w:iCs/>
      <w:color w:val="182428" w:themeColor="accent1" w:themeShade="BF"/>
    </w:rPr>
  </w:style>
  <w:style w:type="character" w:styleId="Strong">
    <w:name w:val="Strong"/>
    <w:basedOn w:val="DefaultParagraphFont"/>
    <w:uiPriority w:val="22"/>
    <w:qFormat/>
    <w:rsid w:val="004C4627"/>
    <w:rPr>
      <w:b/>
      <w:bCs/>
    </w:rPr>
  </w:style>
  <w:style w:type="paragraph" w:customStyle="1" w:styleId="Default">
    <w:name w:val="Default"/>
    <w:rsid w:val="002B5CAD"/>
    <w:pPr>
      <w:autoSpaceDE w:val="0"/>
      <w:autoSpaceDN w:val="0"/>
      <w:adjustRightInd w:val="0"/>
    </w:pPr>
    <w:rPr>
      <w:rFonts w:ascii="Poppins" w:hAnsi="Poppins" w:cs="Poppins"/>
      <w:color w:val="000000"/>
      <w:sz w:val="24"/>
      <w:szCs w:val="24"/>
      <w:lang w:val="en-AU"/>
    </w:rPr>
  </w:style>
  <w:style w:type="paragraph" w:styleId="Revision">
    <w:name w:val="Revision"/>
    <w:hidden/>
    <w:uiPriority w:val="99"/>
    <w:semiHidden/>
    <w:rsid w:val="002E2A8C"/>
    <w:rPr>
      <w:rFonts w:eastAsia="SimSun"/>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2321">
      <w:bodyDiv w:val="1"/>
      <w:marLeft w:val="0"/>
      <w:marRight w:val="0"/>
      <w:marTop w:val="0"/>
      <w:marBottom w:val="0"/>
      <w:divBdr>
        <w:top w:val="none" w:sz="0" w:space="0" w:color="auto"/>
        <w:left w:val="none" w:sz="0" w:space="0" w:color="auto"/>
        <w:bottom w:val="none" w:sz="0" w:space="0" w:color="auto"/>
        <w:right w:val="none" w:sz="0" w:space="0" w:color="auto"/>
      </w:divBdr>
    </w:div>
    <w:div w:id="18745225">
      <w:bodyDiv w:val="1"/>
      <w:marLeft w:val="0"/>
      <w:marRight w:val="0"/>
      <w:marTop w:val="0"/>
      <w:marBottom w:val="0"/>
      <w:divBdr>
        <w:top w:val="none" w:sz="0" w:space="0" w:color="auto"/>
        <w:left w:val="none" w:sz="0" w:space="0" w:color="auto"/>
        <w:bottom w:val="none" w:sz="0" w:space="0" w:color="auto"/>
        <w:right w:val="none" w:sz="0" w:space="0" w:color="auto"/>
      </w:divBdr>
    </w:div>
    <w:div w:id="29958110">
      <w:bodyDiv w:val="1"/>
      <w:marLeft w:val="0"/>
      <w:marRight w:val="0"/>
      <w:marTop w:val="0"/>
      <w:marBottom w:val="0"/>
      <w:divBdr>
        <w:top w:val="none" w:sz="0" w:space="0" w:color="auto"/>
        <w:left w:val="none" w:sz="0" w:space="0" w:color="auto"/>
        <w:bottom w:val="none" w:sz="0" w:space="0" w:color="auto"/>
        <w:right w:val="none" w:sz="0" w:space="0" w:color="auto"/>
      </w:divBdr>
    </w:div>
    <w:div w:id="59259388">
      <w:bodyDiv w:val="1"/>
      <w:marLeft w:val="0"/>
      <w:marRight w:val="0"/>
      <w:marTop w:val="0"/>
      <w:marBottom w:val="0"/>
      <w:divBdr>
        <w:top w:val="none" w:sz="0" w:space="0" w:color="auto"/>
        <w:left w:val="none" w:sz="0" w:space="0" w:color="auto"/>
        <w:bottom w:val="none" w:sz="0" w:space="0" w:color="auto"/>
        <w:right w:val="none" w:sz="0" w:space="0" w:color="auto"/>
      </w:divBdr>
    </w:div>
    <w:div w:id="94135738">
      <w:bodyDiv w:val="1"/>
      <w:marLeft w:val="0"/>
      <w:marRight w:val="0"/>
      <w:marTop w:val="0"/>
      <w:marBottom w:val="0"/>
      <w:divBdr>
        <w:top w:val="none" w:sz="0" w:space="0" w:color="auto"/>
        <w:left w:val="none" w:sz="0" w:space="0" w:color="auto"/>
        <w:bottom w:val="none" w:sz="0" w:space="0" w:color="auto"/>
        <w:right w:val="none" w:sz="0" w:space="0" w:color="auto"/>
      </w:divBdr>
    </w:div>
    <w:div w:id="118110627">
      <w:bodyDiv w:val="1"/>
      <w:marLeft w:val="0"/>
      <w:marRight w:val="0"/>
      <w:marTop w:val="0"/>
      <w:marBottom w:val="0"/>
      <w:divBdr>
        <w:top w:val="none" w:sz="0" w:space="0" w:color="auto"/>
        <w:left w:val="none" w:sz="0" w:space="0" w:color="auto"/>
        <w:bottom w:val="none" w:sz="0" w:space="0" w:color="auto"/>
        <w:right w:val="none" w:sz="0" w:space="0" w:color="auto"/>
      </w:divBdr>
    </w:div>
    <w:div w:id="146828955">
      <w:bodyDiv w:val="1"/>
      <w:marLeft w:val="0"/>
      <w:marRight w:val="0"/>
      <w:marTop w:val="0"/>
      <w:marBottom w:val="0"/>
      <w:divBdr>
        <w:top w:val="none" w:sz="0" w:space="0" w:color="auto"/>
        <w:left w:val="none" w:sz="0" w:space="0" w:color="auto"/>
        <w:bottom w:val="none" w:sz="0" w:space="0" w:color="auto"/>
        <w:right w:val="none" w:sz="0" w:space="0" w:color="auto"/>
      </w:divBdr>
    </w:div>
    <w:div w:id="152067418">
      <w:bodyDiv w:val="1"/>
      <w:marLeft w:val="0"/>
      <w:marRight w:val="0"/>
      <w:marTop w:val="0"/>
      <w:marBottom w:val="0"/>
      <w:divBdr>
        <w:top w:val="none" w:sz="0" w:space="0" w:color="auto"/>
        <w:left w:val="none" w:sz="0" w:space="0" w:color="auto"/>
        <w:bottom w:val="none" w:sz="0" w:space="0" w:color="auto"/>
        <w:right w:val="none" w:sz="0" w:space="0" w:color="auto"/>
      </w:divBdr>
    </w:div>
    <w:div w:id="171922305">
      <w:bodyDiv w:val="1"/>
      <w:marLeft w:val="0"/>
      <w:marRight w:val="0"/>
      <w:marTop w:val="0"/>
      <w:marBottom w:val="0"/>
      <w:divBdr>
        <w:top w:val="none" w:sz="0" w:space="0" w:color="auto"/>
        <w:left w:val="none" w:sz="0" w:space="0" w:color="auto"/>
        <w:bottom w:val="none" w:sz="0" w:space="0" w:color="auto"/>
        <w:right w:val="none" w:sz="0" w:space="0" w:color="auto"/>
      </w:divBdr>
    </w:div>
    <w:div w:id="207498207">
      <w:bodyDiv w:val="1"/>
      <w:marLeft w:val="0"/>
      <w:marRight w:val="0"/>
      <w:marTop w:val="0"/>
      <w:marBottom w:val="0"/>
      <w:divBdr>
        <w:top w:val="none" w:sz="0" w:space="0" w:color="auto"/>
        <w:left w:val="none" w:sz="0" w:space="0" w:color="auto"/>
        <w:bottom w:val="none" w:sz="0" w:space="0" w:color="auto"/>
        <w:right w:val="none" w:sz="0" w:space="0" w:color="auto"/>
      </w:divBdr>
    </w:div>
    <w:div w:id="215362729">
      <w:bodyDiv w:val="1"/>
      <w:marLeft w:val="0"/>
      <w:marRight w:val="0"/>
      <w:marTop w:val="0"/>
      <w:marBottom w:val="0"/>
      <w:divBdr>
        <w:top w:val="none" w:sz="0" w:space="0" w:color="auto"/>
        <w:left w:val="none" w:sz="0" w:space="0" w:color="auto"/>
        <w:bottom w:val="none" w:sz="0" w:space="0" w:color="auto"/>
        <w:right w:val="none" w:sz="0" w:space="0" w:color="auto"/>
      </w:divBdr>
    </w:div>
    <w:div w:id="237717486">
      <w:bodyDiv w:val="1"/>
      <w:marLeft w:val="0"/>
      <w:marRight w:val="0"/>
      <w:marTop w:val="0"/>
      <w:marBottom w:val="0"/>
      <w:divBdr>
        <w:top w:val="none" w:sz="0" w:space="0" w:color="auto"/>
        <w:left w:val="none" w:sz="0" w:space="0" w:color="auto"/>
        <w:bottom w:val="none" w:sz="0" w:space="0" w:color="auto"/>
        <w:right w:val="none" w:sz="0" w:space="0" w:color="auto"/>
      </w:divBdr>
    </w:div>
    <w:div w:id="240065070">
      <w:bodyDiv w:val="1"/>
      <w:marLeft w:val="0"/>
      <w:marRight w:val="0"/>
      <w:marTop w:val="0"/>
      <w:marBottom w:val="0"/>
      <w:divBdr>
        <w:top w:val="none" w:sz="0" w:space="0" w:color="auto"/>
        <w:left w:val="none" w:sz="0" w:space="0" w:color="auto"/>
        <w:bottom w:val="none" w:sz="0" w:space="0" w:color="auto"/>
        <w:right w:val="none" w:sz="0" w:space="0" w:color="auto"/>
      </w:divBdr>
    </w:div>
    <w:div w:id="254632044">
      <w:bodyDiv w:val="1"/>
      <w:marLeft w:val="0"/>
      <w:marRight w:val="0"/>
      <w:marTop w:val="0"/>
      <w:marBottom w:val="0"/>
      <w:divBdr>
        <w:top w:val="none" w:sz="0" w:space="0" w:color="auto"/>
        <w:left w:val="none" w:sz="0" w:space="0" w:color="auto"/>
        <w:bottom w:val="none" w:sz="0" w:space="0" w:color="auto"/>
        <w:right w:val="none" w:sz="0" w:space="0" w:color="auto"/>
      </w:divBdr>
    </w:div>
    <w:div w:id="393044244">
      <w:bodyDiv w:val="1"/>
      <w:marLeft w:val="0"/>
      <w:marRight w:val="0"/>
      <w:marTop w:val="0"/>
      <w:marBottom w:val="0"/>
      <w:divBdr>
        <w:top w:val="none" w:sz="0" w:space="0" w:color="auto"/>
        <w:left w:val="none" w:sz="0" w:space="0" w:color="auto"/>
        <w:bottom w:val="none" w:sz="0" w:space="0" w:color="auto"/>
        <w:right w:val="none" w:sz="0" w:space="0" w:color="auto"/>
      </w:divBdr>
    </w:div>
    <w:div w:id="398484457">
      <w:bodyDiv w:val="1"/>
      <w:marLeft w:val="0"/>
      <w:marRight w:val="0"/>
      <w:marTop w:val="0"/>
      <w:marBottom w:val="0"/>
      <w:divBdr>
        <w:top w:val="none" w:sz="0" w:space="0" w:color="auto"/>
        <w:left w:val="none" w:sz="0" w:space="0" w:color="auto"/>
        <w:bottom w:val="none" w:sz="0" w:space="0" w:color="auto"/>
        <w:right w:val="none" w:sz="0" w:space="0" w:color="auto"/>
      </w:divBdr>
    </w:div>
    <w:div w:id="404108788">
      <w:bodyDiv w:val="1"/>
      <w:marLeft w:val="0"/>
      <w:marRight w:val="0"/>
      <w:marTop w:val="0"/>
      <w:marBottom w:val="0"/>
      <w:divBdr>
        <w:top w:val="none" w:sz="0" w:space="0" w:color="auto"/>
        <w:left w:val="none" w:sz="0" w:space="0" w:color="auto"/>
        <w:bottom w:val="none" w:sz="0" w:space="0" w:color="auto"/>
        <w:right w:val="none" w:sz="0" w:space="0" w:color="auto"/>
      </w:divBdr>
    </w:div>
    <w:div w:id="420226040">
      <w:bodyDiv w:val="1"/>
      <w:marLeft w:val="0"/>
      <w:marRight w:val="0"/>
      <w:marTop w:val="0"/>
      <w:marBottom w:val="0"/>
      <w:divBdr>
        <w:top w:val="none" w:sz="0" w:space="0" w:color="auto"/>
        <w:left w:val="none" w:sz="0" w:space="0" w:color="auto"/>
        <w:bottom w:val="none" w:sz="0" w:space="0" w:color="auto"/>
        <w:right w:val="none" w:sz="0" w:space="0" w:color="auto"/>
      </w:divBdr>
    </w:div>
    <w:div w:id="423914226">
      <w:bodyDiv w:val="1"/>
      <w:marLeft w:val="0"/>
      <w:marRight w:val="0"/>
      <w:marTop w:val="0"/>
      <w:marBottom w:val="0"/>
      <w:divBdr>
        <w:top w:val="none" w:sz="0" w:space="0" w:color="auto"/>
        <w:left w:val="none" w:sz="0" w:space="0" w:color="auto"/>
        <w:bottom w:val="none" w:sz="0" w:space="0" w:color="auto"/>
        <w:right w:val="none" w:sz="0" w:space="0" w:color="auto"/>
      </w:divBdr>
    </w:div>
    <w:div w:id="484057030">
      <w:bodyDiv w:val="1"/>
      <w:marLeft w:val="0"/>
      <w:marRight w:val="0"/>
      <w:marTop w:val="0"/>
      <w:marBottom w:val="0"/>
      <w:divBdr>
        <w:top w:val="none" w:sz="0" w:space="0" w:color="auto"/>
        <w:left w:val="none" w:sz="0" w:space="0" w:color="auto"/>
        <w:bottom w:val="none" w:sz="0" w:space="0" w:color="auto"/>
        <w:right w:val="none" w:sz="0" w:space="0" w:color="auto"/>
      </w:divBdr>
    </w:div>
    <w:div w:id="495192391">
      <w:bodyDiv w:val="1"/>
      <w:marLeft w:val="0"/>
      <w:marRight w:val="0"/>
      <w:marTop w:val="0"/>
      <w:marBottom w:val="0"/>
      <w:divBdr>
        <w:top w:val="none" w:sz="0" w:space="0" w:color="auto"/>
        <w:left w:val="none" w:sz="0" w:space="0" w:color="auto"/>
        <w:bottom w:val="none" w:sz="0" w:space="0" w:color="auto"/>
        <w:right w:val="none" w:sz="0" w:space="0" w:color="auto"/>
      </w:divBdr>
    </w:div>
    <w:div w:id="501161993">
      <w:bodyDiv w:val="1"/>
      <w:marLeft w:val="0"/>
      <w:marRight w:val="0"/>
      <w:marTop w:val="0"/>
      <w:marBottom w:val="0"/>
      <w:divBdr>
        <w:top w:val="none" w:sz="0" w:space="0" w:color="auto"/>
        <w:left w:val="none" w:sz="0" w:space="0" w:color="auto"/>
        <w:bottom w:val="none" w:sz="0" w:space="0" w:color="auto"/>
        <w:right w:val="none" w:sz="0" w:space="0" w:color="auto"/>
      </w:divBdr>
      <w:divsChild>
        <w:div w:id="831676754">
          <w:marLeft w:val="274"/>
          <w:marRight w:val="0"/>
          <w:marTop w:val="0"/>
          <w:marBottom w:val="0"/>
          <w:divBdr>
            <w:top w:val="none" w:sz="0" w:space="0" w:color="auto"/>
            <w:left w:val="none" w:sz="0" w:space="0" w:color="auto"/>
            <w:bottom w:val="none" w:sz="0" w:space="0" w:color="auto"/>
            <w:right w:val="none" w:sz="0" w:space="0" w:color="auto"/>
          </w:divBdr>
        </w:div>
      </w:divsChild>
    </w:div>
    <w:div w:id="540481274">
      <w:bodyDiv w:val="1"/>
      <w:marLeft w:val="0"/>
      <w:marRight w:val="0"/>
      <w:marTop w:val="0"/>
      <w:marBottom w:val="0"/>
      <w:divBdr>
        <w:top w:val="none" w:sz="0" w:space="0" w:color="auto"/>
        <w:left w:val="none" w:sz="0" w:space="0" w:color="auto"/>
        <w:bottom w:val="none" w:sz="0" w:space="0" w:color="auto"/>
        <w:right w:val="none" w:sz="0" w:space="0" w:color="auto"/>
      </w:divBdr>
    </w:div>
    <w:div w:id="570845392">
      <w:bodyDiv w:val="1"/>
      <w:marLeft w:val="0"/>
      <w:marRight w:val="0"/>
      <w:marTop w:val="0"/>
      <w:marBottom w:val="0"/>
      <w:divBdr>
        <w:top w:val="none" w:sz="0" w:space="0" w:color="auto"/>
        <w:left w:val="none" w:sz="0" w:space="0" w:color="auto"/>
        <w:bottom w:val="none" w:sz="0" w:space="0" w:color="auto"/>
        <w:right w:val="none" w:sz="0" w:space="0" w:color="auto"/>
      </w:divBdr>
    </w:div>
    <w:div w:id="585923558">
      <w:bodyDiv w:val="1"/>
      <w:marLeft w:val="0"/>
      <w:marRight w:val="0"/>
      <w:marTop w:val="0"/>
      <w:marBottom w:val="0"/>
      <w:divBdr>
        <w:top w:val="none" w:sz="0" w:space="0" w:color="auto"/>
        <w:left w:val="none" w:sz="0" w:space="0" w:color="auto"/>
        <w:bottom w:val="none" w:sz="0" w:space="0" w:color="auto"/>
        <w:right w:val="none" w:sz="0" w:space="0" w:color="auto"/>
      </w:divBdr>
    </w:div>
    <w:div w:id="697974994">
      <w:bodyDiv w:val="1"/>
      <w:marLeft w:val="0"/>
      <w:marRight w:val="0"/>
      <w:marTop w:val="0"/>
      <w:marBottom w:val="0"/>
      <w:divBdr>
        <w:top w:val="none" w:sz="0" w:space="0" w:color="auto"/>
        <w:left w:val="none" w:sz="0" w:space="0" w:color="auto"/>
        <w:bottom w:val="none" w:sz="0" w:space="0" w:color="auto"/>
        <w:right w:val="none" w:sz="0" w:space="0" w:color="auto"/>
      </w:divBdr>
    </w:div>
    <w:div w:id="742920232">
      <w:bodyDiv w:val="1"/>
      <w:marLeft w:val="0"/>
      <w:marRight w:val="0"/>
      <w:marTop w:val="0"/>
      <w:marBottom w:val="0"/>
      <w:divBdr>
        <w:top w:val="none" w:sz="0" w:space="0" w:color="auto"/>
        <w:left w:val="none" w:sz="0" w:space="0" w:color="auto"/>
        <w:bottom w:val="none" w:sz="0" w:space="0" w:color="auto"/>
        <w:right w:val="none" w:sz="0" w:space="0" w:color="auto"/>
      </w:divBdr>
    </w:div>
    <w:div w:id="807669913">
      <w:bodyDiv w:val="1"/>
      <w:marLeft w:val="0"/>
      <w:marRight w:val="0"/>
      <w:marTop w:val="0"/>
      <w:marBottom w:val="0"/>
      <w:divBdr>
        <w:top w:val="none" w:sz="0" w:space="0" w:color="auto"/>
        <w:left w:val="none" w:sz="0" w:space="0" w:color="auto"/>
        <w:bottom w:val="none" w:sz="0" w:space="0" w:color="auto"/>
        <w:right w:val="none" w:sz="0" w:space="0" w:color="auto"/>
      </w:divBdr>
    </w:div>
    <w:div w:id="823931635">
      <w:bodyDiv w:val="1"/>
      <w:marLeft w:val="0"/>
      <w:marRight w:val="0"/>
      <w:marTop w:val="0"/>
      <w:marBottom w:val="0"/>
      <w:divBdr>
        <w:top w:val="none" w:sz="0" w:space="0" w:color="auto"/>
        <w:left w:val="none" w:sz="0" w:space="0" w:color="auto"/>
        <w:bottom w:val="none" w:sz="0" w:space="0" w:color="auto"/>
        <w:right w:val="none" w:sz="0" w:space="0" w:color="auto"/>
      </w:divBdr>
    </w:div>
    <w:div w:id="843319156">
      <w:bodyDiv w:val="1"/>
      <w:marLeft w:val="0"/>
      <w:marRight w:val="0"/>
      <w:marTop w:val="0"/>
      <w:marBottom w:val="0"/>
      <w:divBdr>
        <w:top w:val="none" w:sz="0" w:space="0" w:color="auto"/>
        <w:left w:val="none" w:sz="0" w:space="0" w:color="auto"/>
        <w:bottom w:val="none" w:sz="0" w:space="0" w:color="auto"/>
        <w:right w:val="none" w:sz="0" w:space="0" w:color="auto"/>
      </w:divBdr>
    </w:div>
    <w:div w:id="877665660">
      <w:bodyDiv w:val="1"/>
      <w:marLeft w:val="0"/>
      <w:marRight w:val="0"/>
      <w:marTop w:val="0"/>
      <w:marBottom w:val="0"/>
      <w:divBdr>
        <w:top w:val="none" w:sz="0" w:space="0" w:color="auto"/>
        <w:left w:val="none" w:sz="0" w:space="0" w:color="auto"/>
        <w:bottom w:val="none" w:sz="0" w:space="0" w:color="auto"/>
        <w:right w:val="none" w:sz="0" w:space="0" w:color="auto"/>
      </w:divBdr>
    </w:div>
    <w:div w:id="884174414">
      <w:bodyDiv w:val="1"/>
      <w:marLeft w:val="0"/>
      <w:marRight w:val="0"/>
      <w:marTop w:val="0"/>
      <w:marBottom w:val="0"/>
      <w:divBdr>
        <w:top w:val="none" w:sz="0" w:space="0" w:color="auto"/>
        <w:left w:val="none" w:sz="0" w:space="0" w:color="auto"/>
        <w:bottom w:val="none" w:sz="0" w:space="0" w:color="auto"/>
        <w:right w:val="none" w:sz="0" w:space="0" w:color="auto"/>
      </w:divBdr>
    </w:div>
    <w:div w:id="963272595">
      <w:bodyDiv w:val="1"/>
      <w:marLeft w:val="0"/>
      <w:marRight w:val="0"/>
      <w:marTop w:val="0"/>
      <w:marBottom w:val="0"/>
      <w:divBdr>
        <w:top w:val="none" w:sz="0" w:space="0" w:color="auto"/>
        <w:left w:val="none" w:sz="0" w:space="0" w:color="auto"/>
        <w:bottom w:val="none" w:sz="0" w:space="0" w:color="auto"/>
        <w:right w:val="none" w:sz="0" w:space="0" w:color="auto"/>
      </w:divBdr>
    </w:div>
    <w:div w:id="987905429">
      <w:bodyDiv w:val="1"/>
      <w:marLeft w:val="0"/>
      <w:marRight w:val="0"/>
      <w:marTop w:val="0"/>
      <w:marBottom w:val="0"/>
      <w:divBdr>
        <w:top w:val="none" w:sz="0" w:space="0" w:color="auto"/>
        <w:left w:val="none" w:sz="0" w:space="0" w:color="auto"/>
        <w:bottom w:val="none" w:sz="0" w:space="0" w:color="auto"/>
        <w:right w:val="none" w:sz="0" w:space="0" w:color="auto"/>
      </w:divBdr>
    </w:div>
    <w:div w:id="1017119047">
      <w:bodyDiv w:val="1"/>
      <w:marLeft w:val="0"/>
      <w:marRight w:val="0"/>
      <w:marTop w:val="0"/>
      <w:marBottom w:val="0"/>
      <w:divBdr>
        <w:top w:val="none" w:sz="0" w:space="0" w:color="auto"/>
        <w:left w:val="none" w:sz="0" w:space="0" w:color="auto"/>
        <w:bottom w:val="none" w:sz="0" w:space="0" w:color="auto"/>
        <w:right w:val="none" w:sz="0" w:space="0" w:color="auto"/>
      </w:divBdr>
    </w:div>
    <w:div w:id="1022709665">
      <w:bodyDiv w:val="1"/>
      <w:marLeft w:val="0"/>
      <w:marRight w:val="0"/>
      <w:marTop w:val="0"/>
      <w:marBottom w:val="0"/>
      <w:divBdr>
        <w:top w:val="none" w:sz="0" w:space="0" w:color="auto"/>
        <w:left w:val="none" w:sz="0" w:space="0" w:color="auto"/>
        <w:bottom w:val="none" w:sz="0" w:space="0" w:color="auto"/>
        <w:right w:val="none" w:sz="0" w:space="0" w:color="auto"/>
      </w:divBdr>
    </w:div>
    <w:div w:id="1039471829">
      <w:bodyDiv w:val="1"/>
      <w:marLeft w:val="0"/>
      <w:marRight w:val="0"/>
      <w:marTop w:val="0"/>
      <w:marBottom w:val="0"/>
      <w:divBdr>
        <w:top w:val="none" w:sz="0" w:space="0" w:color="auto"/>
        <w:left w:val="none" w:sz="0" w:space="0" w:color="auto"/>
        <w:bottom w:val="none" w:sz="0" w:space="0" w:color="auto"/>
        <w:right w:val="none" w:sz="0" w:space="0" w:color="auto"/>
      </w:divBdr>
    </w:div>
    <w:div w:id="1080492081">
      <w:bodyDiv w:val="1"/>
      <w:marLeft w:val="0"/>
      <w:marRight w:val="0"/>
      <w:marTop w:val="0"/>
      <w:marBottom w:val="0"/>
      <w:divBdr>
        <w:top w:val="none" w:sz="0" w:space="0" w:color="auto"/>
        <w:left w:val="none" w:sz="0" w:space="0" w:color="auto"/>
        <w:bottom w:val="none" w:sz="0" w:space="0" w:color="auto"/>
        <w:right w:val="none" w:sz="0" w:space="0" w:color="auto"/>
      </w:divBdr>
    </w:div>
    <w:div w:id="1096484997">
      <w:bodyDiv w:val="1"/>
      <w:marLeft w:val="0"/>
      <w:marRight w:val="0"/>
      <w:marTop w:val="0"/>
      <w:marBottom w:val="0"/>
      <w:divBdr>
        <w:top w:val="none" w:sz="0" w:space="0" w:color="auto"/>
        <w:left w:val="none" w:sz="0" w:space="0" w:color="auto"/>
        <w:bottom w:val="none" w:sz="0" w:space="0" w:color="auto"/>
        <w:right w:val="none" w:sz="0" w:space="0" w:color="auto"/>
      </w:divBdr>
    </w:div>
    <w:div w:id="1170604451">
      <w:bodyDiv w:val="1"/>
      <w:marLeft w:val="0"/>
      <w:marRight w:val="0"/>
      <w:marTop w:val="0"/>
      <w:marBottom w:val="0"/>
      <w:divBdr>
        <w:top w:val="none" w:sz="0" w:space="0" w:color="auto"/>
        <w:left w:val="none" w:sz="0" w:space="0" w:color="auto"/>
        <w:bottom w:val="none" w:sz="0" w:space="0" w:color="auto"/>
        <w:right w:val="none" w:sz="0" w:space="0" w:color="auto"/>
      </w:divBdr>
    </w:div>
    <w:div w:id="1178077221">
      <w:bodyDiv w:val="1"/>
      <w:marLeft w:val="0"/>
      <w:marRight w:val="0"/>
      <w:marTop w:val="0"/>
      <w:marBottom w:val="0"/>
      <w:divBdr>
        <w:top w:val="none" w:sz="0" w:space="0" w:color="auto"/>
        <w:left w:val="none" w:sz="0" w:space="0" w:color="auto"/>
        <w:bottom w:val="none" w:sz="0" w:space="0" w:color="auto"/>
        <w:right w:val="none" w:sz="0" w:space="0" w:color="auto"/>
      </w:divBdr>
    </w:div>
    <w:div w:id="1218590780">
      <w:bodyDiv w:val="1"/>
      <w:marLeft w:val="0"/>
      <w:marRight w:val="0"/>
      <w:marTop w:val="0"/>
      <w:marBottom w:val="0"/>
      <w:divBdr>
        <w:top w:val="none" w:sz="0" w:space="0" w:color="auto"/>
        <w:left w:val="none" w:sz="0" w:space="0" w:color="auto"/>
        <w:bottom w:val="none" w:sz="0" w:space="0" w:color="auto"/>
        <w:right w:val="none" w:sz="0" w:space="0" w:color="auto"/>
      </w:divBdr>
    </w:div>
    <w:div w:id="1288857954">
      <w:bodyDiv w:val="1"/>
      <w:marLeft w:val="0"/>
      <w:marRight w:val="0"/>
      <w:marTop w:val="0"/>
      <w:marBottom w:val="0"/>
      <w:divBdr>
        <w:top w:val="none" w:sz="0" w:space="0" w:color="auto"/>
        <w:left w:val="none" w:sz="0" w:space="0" w:color="auto"/>
        <w:bottom w:val="none" w:sz="0" w:space="0" w:color="auto"/>
        <w:right w:val="none" w:sz="0" w:space="0" w:color="auto"/>
      </w:divBdr>
    </w:div>
    <w:div w:id="1349524047">
      <w:bodyDiv w:val="1"/>
      <w:marLeft w:val="0"/>
      <w:marRight w:val="0"/>
      <w:marTop w:val="0"/>
      <w:marBottom w:val="0"/>
      <w:divBdr>
        <w:top w:val="none" w:sz="0" w:space="0" w:color="auto"/>
        <w:left w:val="none" w:sz="0" w:space="0" w:color="auto"/>
        <w:bottom w:val="none" w:sz="0" w:space="0" w:color="auto"/>
        <w:right w:val="none" w:sz="0" w:space="0" w:color="auto"/>
      </w:divBdr>
    </w:div>
    <w:div w:id="1417435575">
      <w:bodyDiv w:val="1"/>
      <w:marLeft w:val="0"/>
      <w:marRight w:val="0"/>
      <w:marTop w:val="0"/>
      <w:marBottom w:val="0"/>
      <w:divBdr>
        <w:top w:val="none" w:sz="0" w:space="0" w:color="auto"/>
        <w:left w:val="none" w:sz="0" w:space="0" w:color="auto"/>
        <w:bottom w:val="none" w:sz="0" w:space="0" w:color="auto"/>
        <w:right w:val="none" w:sz="0" w:space="0" w:color="auto"/>
      </w:divBdr>
    </w:div>
    <w:div w:id="1498888776">
      <w:bodyDiv w:val="1"/>
      <w:marLeft w:val="0"/>
      <w:marRight w:val="0"/>
      <w:marTop w:val="0"/>
      <w:marBottom w:val="0"/>
      <w:divBdr>
        <w:top w:val="none" w:sz="0" w:space="0" w:color="auto"/>
        <w:left w:val="none" w:sz="0" w:space="0" w:color="auto"/>
        <w:bottom w:val="none" w:sz="0" w:space="0" w:color="auto"/>
        <w:right w:val="none" w:sz="0" w:space="0" w:color="auto"/>
      </w:divBdr>
    </w:div>
    <w:div w:id="1516192899">
      <w:bodyDiv w:val="1"/>
      <w:marLeft w:val="0"/>
      <w:marRight w:val="0"/>
      <w:marTop w:val="0"/>
      <w:marBottom w:val="0"/>
      <w:divBdr>
        <w:top w:val="none" w:sz="0" w:space="0" w:color="auto"/>
        <w:left w:val="none" w:sz="0" w:space="0" w:color="auto"/>
        <w:bottom w:val="none" w:sz="0" w:space="0" w:color="auto"/>
        <w:right w:val="none" w:sz="0" w:space="0" w:color="auto"/>
      </w:divBdr>
    </w:div>
    <w:div w:id="1549368213">
      <w:bodyDiv w:val="1"/>
      <w:marLeft w:val="0"/>
      <w:marRight w:val="0"/>
      <w:marTop w:val="0"/>
      <w:marBottom w:val="0"/>
      <w:divBdr>
        <w:top w:val="none" w:sz="0" w:space="0" w:color="auto"/>
        <w:left w:val="none" w:sz="0" w:space="0" w:color="auto"/>
        <w:bottom w:val="none" w:sz="0" w:space="0" w:color="auto"/>
        <w:right w:val="none" w:sz="0" w:space="0" w:color="auto"/>
      </w:divBdr>
    </w:div>
    <w:div w:id="1604461199">
      <w:bodyDiv w:val="1"/>
      <w:marLeft w:val="0"/>
      <w:marRight w:val="0"/>
      <w:marTop w:val="0"/>
      <w:marBottom w:val="0"/>
      <w:divBdr>
        <w:top w:val="none" w:sz="0" w:space="0" w:color="auto"/>
        <w:left w:val="none" w:sz="0" w:space="0" w:color="auto"/>
        <w:bottom w:val="none" w:sz="0" w:space="0" w:color="auto"/>
        <w:right w:val="none" w:sz="0" w:space="0" w:color="auto"/>
      </w:divBdr>
      <w:divsChild>
        <w:div w:id="3362356">
          <w:marLeft w:val="274"/>
          <w:marRight w:val="0"/>
          <w:marTop w:val="0"/>
          <w:marBottom w:val="0"/>
          <w:divBdr>
            <w:top w:val="none" w:sz="0" w:space="0" w:color="auto"/>
            <w:left w:val="none" w:sz="0" w:space="0" w:color="auto"/>
            <w:bottom w:val="none" w:sz="0" w:space="0" w:color="auto"/>
            <w:right w:val="none" w:sz="0" w:space="0" w:color="auto"/>
          </w:divBdr>
        </w:div>
        <w:div w:id="1689676973">
          <w:marLeft w:val="274"/>
          <w:marRight w:val="0"/>
          <w:marTop w:val="0"/>
          <w:marBottom w:val="0"/>
          <w:divBdr>
            <w:top w:val="none" w:sz="0" w:space="0" w:color="auto"/>
            <w:left w:val="none" w:sz="0" w:space="0" w:color="auto"/>
            <w:bottom w:val="none" w:sz="0" w:space="0" w:color="auto"/>
            <w:right w:val="none" w:sz="0" w:space="0" w:color="auto"/>
          </w:divBdr>
        </w:div>
        <w:div w:id="1941836063">
          <w:marLeft w:val="274"/>
          <w:marRight w:val="0"/>
          <w:marTop w:val="0"/>
          <w:marBottom w:val="0"/>
          <w:divBdr>
            <w:top w:val="none" w:sz="0" w:space="0" w:color="auto"/>
            <w:left w:val="none" w:sz="0" w:space="0" w:color="auto"/>
            <w:bottom w:val="none" w:sz="0" w:space="0" w:color="auto"/>
            <w:right w:val="none" w:sz="0" w:space="0" w:color="auto"/>
          </w:divBdr>
        </w:div>
        <w:div w:id="2100326374">
          <w:marLeft w:val="274"/>
          <w:marRight w:val="0"/>
          <w:marTop w:val="0"/>
          <w:marBottom w:val="0"/>
          <w:divBdr>
            <w:top w:val="none" w:sz="0" w:space="0" w:color="auto"/>
            <w:left w:val="none" w:sz="0" w:space="0" w:color="auto"/>
            <w:bottom w:val="none" w:sz="0" w:space="0" w:color="auto"/>
            <w:right w:val="none" w:sz="0" w:space="0" w:color="auto"/>
          </w:divBdr>
        </w:div>
      </w:divsChild>
    </w:div>
    <w:div w:id="1613436018">
      <w:bodyDiv w:val="1"/>
      <w:marLeft w:val="0"/>
      <w:marRight w:val="0"/>
      <w:marTop w:val="0"/>
      <w:marBottom w:val="0"/>
      <w:divBdr>
        <w:top w:val="none" w:sz="0" w:space="0" w:color="auto"/>
        <w:left w:val="none" w:sz="0" w:space="0" w:color="auto"/>
        <w:bottom w:val="none" w:sz="0" w:space="0" w:color="auto"/>
        <w:right w:val="none" w:sz="0" w:space="0" w:color="auto"/>
      </w:divBdr>
    </w:div>
    <w:div w:id="1631207960">
      <w:bodyDiv w:val="1"/>
      <w:marLeft w:val="0"/>
      <w:marRight w:val="0"/>
      <w:marTop w:val="0"/>
      <w:marBottom w:val="0"/>
      <w:divBdr>
        <w:top w:val="none" w:sz="0" w:space="0" w:color="auto"/>
        <w:left w:val="none" w:sz="0" w:space="0" w:color="auto"/>
        <w:bottom w:val="none" w:sz="0" w:space="0" w:color="auto"/>
        <w:right w:val="none" w:sz="0" w:space="0" w:color="auto"/>
      </w:divBdr>
    </w:div>
    <w:div w:id="1651714975">
      <w:bodyDiv w:val="1"/>
      <w:marLeft w:val="0"/>
      <w:marRight w:val="0"/>
      <w:marTop w:val="0"/>
      <w:marBottom w:val="0"/>
      <w:divBdr>
        <w:top w:val="none" w:sz="0" w:space="0" w:color="auto"/>
        <w:left w:val="none" w:sz="0" w:space="0" w:color="auto"/>
        <w:bottom w:val="none" w:sz="0" w:space="0" w:color="auto"/>
        <w:right w:val="none" w:sz="0" w:space="0" w:color="auto"/>
      </w:divBdr>
    </w:div>
    <w:div w:id="1659726146">
      <w:bodyDiv w:val="1"/>
      <w:marLeft w:val="0"/>
      <w:marRight w:val="0"/>
      <w:marTop w:val="0"/>
      <w:marBottom w:val="0"/>
      <w:divBdr>
        <w:top w:val="none" w:sz="0" w:space="0" w:color="auto"/>
        <w:left w:val="none" w:sz="0" w:space="0" w:color="auto"/>
        <w:bottom w:val="none" w:sz="0" w:space="0" w:color="auto"/>
        <w:right w:val="none" w:sz="0" w:space="0" w:color="auto"/>
      </w:divBdr>
    </w:div>
    <w:div w:id="1674648854">
      <w:bodyDiv w:val="1"/>
      <w:marLeft w:val="0"/>
      <w:marRight w:val="0"/>
      <w:marTop w:val="0"/>
      <w:marBottom w:val="0"/>
      <w:divBdr>
        <w:top w:val="none" w:sz="0" w:space="0" w:color="auto"/>
        <w:left w:val="none" w:sz="0" w:space="0" w:color="auto"/>
        <w:bottom w:val="none" w:sz="0" w:space="0" w:color="auto"/>
        <w:right w:val="none" w:sz="0" w:space="0" w:color="auto"/>
      </w:divBdr>
    </w:div>
    <w:div w:id="1683701550">
      <w:bodyDiv w:val="1"/>
      <w:marLeft w:val="0"/>
      <w:marRight w:val="0"/>
      <w:marTop w:val="0"/>
      <w:marBottom w:val="0"/>
      <w:divBdr>
        <w:top w:val="none" w:sz="0" w:space="0" w:color="auto"/>
        <w:left w:val="none" w:sz="0" w:space="0" w:color="auto"/>
        <w:bottom w:val="none" w:sz="0" w:space="0" w:color="auto"/>
        <w:right w:val="none" w:sz="0" w:space="0" w:color="auto"/>
      </w:divBdr>
    </w:div>
    <w:div w:id="1688173648">
      <w:bodyDiv w:val="1"/>
      <w:marLeft w:val="0"/>
      <w:marRight w:val="0"/>
      <w:marTop w:val="0"/>
      <w:marBottom w:val="0"/>
      <w:divBdr>
        <w:top w:val="none" w:sz="0" w:space="0" w:color="auto"/>
        <w:left w:val="none" w:sz="0" w:space="0" w:color="auto"/>
        <w:bottom w:val="none" w:sz="0" w:space="0" w:color="auto"/>
        <w:right w:val="none" w:sz="0" w:space="0" w:color="auto"/>
      </w:divBdr>
    </w:div>
    <w:div w:id="1710449652">
      <w:bodyDiv w:val="1"/>
      <w:marLeft w:val="0"/>
      <w:marRight w:val="0"/>
      <w:marTop w:val="0"/>
      <w:marBottom w:val="0"/>
      <w:divBdr>
        <w:top w:val="none" w:sz="0" w:space="0" w:color="auto"/>
        <w:left w:val="none" w:sz="0" w:space="0" w:color="auto"/>
        <w:bottom w:val="none" w:sz="0" w:space="0" w:color="auto"/>
        <w:right w:val="none" w:sz="0" w:space="0" w:color="auto"/>
      </w:divBdr>
    </w:div>
    <w:div w:id="1844468566">
      <w:bodyDiv w:val="1"/>
      <w:marLeft w:val="0"/>
      <w:marRight w:val="0"/>
      <w:marTop w:val="0"/>
      <w:marBottom w:val="0"/>
      <w:divBdr>
        <w:top w:val="none" w:sz="0" w:space="0" w:color="auto"/>
        <w:left w:val="none" w:sz="0" w:space="0" w:color="auto"/>
        <w:bottom w:val="none" w:sz="0" w:space="0" w:color="auto"/>
        <w:right w:val="none" w:sz="0" w:space="0" w:color="auto"/>
      </w:divBdr>
    </w:div>
    <w:div w:id="1863281566">
      <w:bodyDiv w:val="1"/>
      <w:marLeft w:val="0"/>
      <w:marRight w:val="0"/>
      <w:marTop w:val="0"/>
      <w:marBottom w:val="0"/>
      <w:divBdr>
        <w:top w:val="none" w:sz="0" w:space="0" w:color="auto"/>
        <w:left w:val="none" w:sz="0" w:space="0" w:color="auto"/>
        <w:bottom w:val="none" w:sz="0" w:space="0" w:color="auto"/>
        <w:right w:val="none" w:sz="0" w:space="0" w:color="auto"/>
      </w:divBdr>
    </w:div>
    <w:div w:id="1870489279">
      <w:bodyDiv w:val="1"/>
      <w:marLeft w:val="0"/>
      <w:marRight w:val="0"/>
      <w:marTop w:val="0"/>
      <w:marBottom w:val="0"/>
      <w:divBdr>
        <w:top w:val="none" w:sz="0" w:space="0" w:color="auto"/>
        <w:left w:val="none" w:sz="0" w:space="0" w:color="auto"/>
        <w:bottom w:val="none" w:sz="0" w:space="0" w:color="auto"/>
        <w:right w:val="none" w:sz="0" w:space="0" w:color="auto"/>
      </w:divBdr>
    </w:div>
    <w:div w:id="1876456297">
      <w:bodyDiv w:val="1"/>
      <w:marLeft w:val="0"/>
      <w:marRight w:val="0"/>
      <w:marTop w:val="0"/>
      <w:marBottom w:val="0"/>
      <w:divBdr>
        <w:top w:val="none" w:sz="0" w:space="0" w:color="auto"/>
        <w:left w:val="none" w:sz="0" w:space="0" w:color="auto"/>
        <w:bottom w:val="none" w:sz="0" w:space="0" w:color="auto"/>
        <w:right w:val="none" w:sz="0" w:space="0" w:color="auto"/>
      </w:divBdr>
    </w:div>
    <w:div w:id="1899511849">
      <w:bodyDiv w:val="1"/>
      <w:marLeft w:val="0"/>
      <w:marRight w:val="0"/>
      <w:marTop w:val="0"/>
      <w:marBottom w:val="0"/>
      <w:divBdr>
        <w:top w:val="none" w:sz="0" w:space="0" w:color="auto"/>
        <w:left w:val="none" w:sz="0" w:space="0" w:color="auto"/>
        <w:bottom w:val="none" w:sz="0" w:space="0" w:color="auto"/>
        <w:right w:val="none" w:sz="0" w:space="0" w:color="auto"/>
      </w:divBdr>
    </w:div>
    <w:div w:id="1955549725">
      <w:bodyDiv w:val="1"/>
      <w:marLeft w:val="0"/>
      <w:marRight w:val="0"/>
      <w:marTop w:val="0"/>
      <w:marBottom w:val="0"/>
      <w:divBdr>
        <w:top w:val="none" w:sz="0" w:space="0" w:color="auto"/>
        <w:left w:val="none" w:sz="0" w:space="0" w:color="auto"/>
        <w:bottom w:val="none" w:sz="0" w:space="0" w:color="auto"/>
        <w:right w:val="none" w:sz="0" w:space="0" w:color="auto"/>
      </w:divBdr>
    </w:div>
    <w:div w:id="1963531771">
      <w:bodyDiv w:val="1"/>
      <w:marLeft w:val="0"/>
      <w:marRight w:val="0"/>
      <w:marTop w:val="0"/>
      <w:marBottom w:val="0"/>
      <w:divBdr>
        <w:top w:val="none" w:sz="0" w:space="0" w:color="auto"/>
        <w:left w:val="none" w:sz="0" w:space="0" w:color="auto"/>
        <w:bottom w:val="none" w:sz="0" w:space="0" w:color="auto"/>
        <w:right w:val="none" w:sz="0" w:space="0" w:color="auto"/>
      </w:divBdr>
    </w:div>
    <w:div w:id="202547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ElectraNet">
  <a:themeElements>
    <a:clrScheme name="ElectraNet_Colours">
      <a:dk1>
        <a:srgbClr val="000000"/>
      </a:dk1>
      <a:lt1>
        <a:srgbClr val="FFFFFF"/>
      </a:lt1>
      <a:dk2>
        <a:srgbClr val="000000"/>
      </a:dk2>
      <a:lt2>
        <a:srgbClr val="FFFFFF"/>
      </a:lt2>
      <a:accent1>
        <a:srgbClr val="203136"/>
      </a:accent1>
      <a:accent2>
        <a:srgbClr val="DDFC70"/>
      </a:accent2>
      <a:accent3>
        <a:srgbClr val="D5C8B6"/>
      </a:accent3>
      <a:accent4>
        <a:srgbClr val="889EA6"/>
      </a:accent4>
      <a:accent5>
        <a:srgbClr val="B8D0EC"/>
      </a:accent5>
      <a:accent6>
        <a:srgbClr val="C4EC9A"/>
      </a:accent6>
      <a:hlink>
        <a:srgbClr val="0563C1"/>
      </a:hlink>
      <a:folHlink>
        <a:srgbClr val="000000"/>
      </a:folHlink>
    </a:clrScheme>
    <a:fontScheme name="ElectraNet_Fonts">
      <a:majorFont>
        <a:latin typeface="Poppins SemiBold"/>
        <a:ea typeface=""/>
        <a:cs typeface=""/>
      </a:majorFont>
      <a:minorFont>
        <a:latin typeface="Poppi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6E6E6"/>
        </a:solidFill>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algn="ctr">
          <a:defRPr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SECVictoria" id="{1810C275-0D71-489F-A1C7-0461C043F732}" vid="{8A881BF8-BB1C-4B47-881D-3E3CD8734F7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aeaaa61-106a-4448-8e32-4ca32db55311">
      <Terms xmlns="http://schemas.microsoft.com/office/infopath/2007/PartnerControls"/>
    </lcf76f155ced4ddcb4097134ff3c332f>
    <TaxCatchAll xmlns="9701c3e0-09bf-4c99-9c34-ec795fe2224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1182BC878BD4E4AA013B0C98550735D" ma:contentTypeVersion="14" ma:contentTypeDescription="Create a new document." ma:contentTypeScope="" ma:versionID="9a22da4099419b2f82d9815a8e76ad6a">
  <xsd:schema xmlns:xsd="http://www.w3.org/2001/XMLSchema" xmlns:xs="http://www.w3.org/2001/XMLSchema" xmlns:p="http://schemas.microsoft.com/office/2006/metadata/properties" xmlns:ns2="3aeaaa61-106a-4448-8e32-4ca32db55311" xmlns:ns3="9701c3e0-09bf-4c99-9c34-ec795fe2224f" targetNamespace="http://schemas.microsoft.com/office/2006/metadata/properties" ma:root="true" ma:fieldsID="76e9676be3e8e4167f4d0795e529b05f" ns2:_="" ns3:_="">
    <xsd:import namespace="3aeaaa61-106a-4448-8e32-4ca32db55311"/>
    <xsd:import namespace="9701c3e0-09bf-4c99-9c34-ec795fe222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eaaa61-106a-4448-8e32-4ca32db553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cb3928-98fe-45c2-b1b5-7ed5a1e82c63"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01c3e0-09bf-4c99-9c34-ec795fe2224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a96a1b7-f9e9-4a6b-8c7d-0bf815d1e33d}" ma:internalName="TaxCatchAll" ma:showField="CatchAllData" ma:web="9701c3e0-09bf-4c99-9c34-ec795fe222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7162B-EED3-4DC3-9DF5-64B1429A31B8}">
  <ds:schemaRefs>
    <ds:schemaRef ds:uri="http://schemas.microsoft.com/sharepoint/v3/contenttype/forms"/>
  </ds:schemaRefs>
</ds:datastoreItem>
</file>

<file path=customXml/itemProps2.xml><?xml version="1.0" encoding="utf-8"?>
<ds:datastoreItem xmlns:ds="http://schemas.openxmlformats.org/officeDocument/2006/customXml" ds:itemID="{CDB609BA-71C1-4A50-85BD-16E7C23166CD}">
  <ds:schemaRefs>
    <ds:schemaRef ds:uri="http://schemas.microsoft.com/office/2006/metadata/properties"/>
    <ds:schemaRef ds:uri="http://schemas.microsoft.com/office/infopath/2007/PartnerControls"/>
    <ds:schemaRef ds:uri="3aeaaa61-106a-4448-8e32-4ca32db55311"/>
    <ds:schemaRef ds:uri="9701c3e0-09bf-4c99-9c34-ec795fe2224f"/>
  </ds:schemaRefs>
</ds:datastoreItem>
</file>

<file path=customXml/itemProps3.xml><?xml version="1.0" encoding="utf-8"?>
<ds:datastoreItem xmlns:ds="http://schemas.openxmlformats.org/officeDocument/2006/customXml" ds:itemID="{64D8A0F3-7C0C-41AB-AD30-BEA586EC8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eaaa61-106a-4448-8e32-4ca32db55311"/>
    <ds:schemaRef ds:uri="9701c3e0-09bf-4c99-9c34-ec795fe222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8121C4-4AD3-49CA-9D98-4E5EB5415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2488</Words>
  <Characters>14085</Characters>
  <Application>Microsoft Office Word</Application>
  <DocSecurity>0</DocSecurity>
  <Lines>234</Lines>
  <Paragraphs>103</Paragraphs>
  <ScaleCrop>false</ScaleCrop>
  <HeadingPairs>
    <vt:vector size="2" baseType="variant">
      <vt:variant>
        <vt:lpstr>Title</vt:lpstr>
      </vt:variant>
      <vt:variant>
        <vt:i4>1</vt:i4>
      </vt:variant>
    </vt:vector>
  </HeadingPairs>
  <TitlesOfParts>
    <vt:vector size="1" baseType="lpstr">
      <vt:lpstr/>
    </vt:vector>
  </TitlesOfParts>
  <Company>ElectraNet Pty Ltd</Company>
  <LinksUpToDate>false</LinksUpToDate>
  <CharactersWithSpaces>16470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Alycia (ENet)</dc:creator>
  <cp:keywords/>
  <dc:description/>
  <cp:lastModifiedBy>Martin, Alycia (ENet)</cp:lastModifiedBy>
  <cp:revision>4</cp:revision>
  <cp:lastPrinted>2022-06-10T23:28:00Z</cp:lastPrinted>
  <dcterms:created xsi:type="dcterms:W3CDTF">2026-02-16T14:25:00Z</dcterms:created>
  <dcterms:modified xsi:type="dcterms:W3CDTF">2026-03-10T01:36:00Z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0x010100F1182BC878BD4E4AA013B0C98550735D</vt:lpwstr>
  </property>
  <property fmtid="{D5CDD505-2E9C-101B-9397-08002B2CF9AE}" pid="3" name="MediaServiceImageTags">
    <vt:lpwstr/>
  </property>
</Properties>
</file>